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DB" w:rsidRPr="007E3831" w:rsidRDefault="00E07EDB" w:rsidP="00B16097"/>
    <w:p w:rsidR="00E07EDB" w:rsidRPr="007E3831" w:rsidRDefault="00E07EDB" w:rsidP="00B16097">
      <w:pPr>
        <w:framePr w:w="9442" w:h="317" w:wrap="notBeside" w:vAnchor="page" w:hAnchor="page" w:x="1441" w:y="572"/>
        <w:pBdr>
          <w:bottom w:val="single" w:sz="6" w:space="0" w:color="000000"/>
        </w:pBdr>
        <w:rPr>
          <w:b/>
        </w:rPr>
      </w:pPr>
      <w:r w:rsidRPr="007E3831">
        <w:rPr>
          <w:b/>
        </w:rPr>
        <w:t>SOCIAL SECURITY ADMINISTRATION</w:t>
      </w:r>
    </w:p>
    <w:p w:rsidR="00E07EDB" w:rsidRPr="007E3831" w:rsidRDefault="00E07EDB" w:rsidP="00B16097">
      <w:pPr>
        <w:framePr w:w="4502" w:h="1944" w:wrap="notBeside" w:vAnchor="page" w:hAnchor="page" w:x="6382" w:y="1009"/>
      </w:pPr>
      <w:r w:rsidRPr="007E3831">
        <w:t>Office of Disability Adjudication and Review</w:t>
      </w:r>
    </w:p>
    <w:p w:rsidR="00E07EDB" w:rsidRPr="00E21AD2" w:rsidRDefault="00E07EDB" w:rsidP="00B16097">
      <w:pPr>
        <w:framePr w:w="4502" w:h="1944" w:wrap="notBeside" w:vAnchor="page" w:hAnchor="page" w:x="6382" w:y="1009"/>
        <w:rPr>
          <w:highlight w:val="yellow"/>
        </w:rPr>
      </w:pPr>
      <w:r w:rsidRPr="00E21AD2">
        <w:rPr>
          <w:highlight w:val="yellow"/>
        </w:rPr>
        <w:t>Hearing Office Address</w:t>
      </w:r>
    </w:p>
    <w:p w:rsidR="00E07EDB" w:rsidRPr="007E3831" w:rsidRDefault="00E07EDB" w:rsidP="00B16097">
      <w:pPr>
        <w:framePr w:w="4502" w:h="1944" w:wrap="notBeside" w:vAnchor="page" w:hAnchor="page" w:x="6382" w:y="1009"/>
      </w:pPr>
      <w:r w:rsidRPr="00E21AD2">
        <w:rPr>
          <w:highlight w:val="yellow"/>
        </w:rPr>
        <w:t>City, State Zip Cod</w:t>
      </w:r>
      <w:r w:rsidR="001F2882" w:rsidRPr="00E21AD2">
        <w:rPr>
          <w:highlight w:val="yellow"/>
        </w:rPr>
        <w:t>e</w:t>
      </w:r>
    </w:p>
    <w:p w:rsidR="00E07EDB" w:rsidRPr="007E3831" w:rsidRDefault="00E07EDB" w:rsidP="00B16097">
      <w:pPr>
        <w:framePr w:w="4502" w:h="1944" w:wrap="notBeside" w:vAnchor="page" w:hAnchor="page" w:x="6382" w:y="1009"/>
      </w:pPr>
    </w:p>
    <w:p w:rsidR="00E07EDB" w:rsidRPr="007E3831" w:rsidRDefault="00E07EDB" w:rsidP="00B16097">
      <w:pPr>
        <w:framePr w:w="4502" w:h="1944" w:wrap="notBeside" w:vAnchor="page" w:hAnchor="page" w:x="6382" w:y="1009"/>
      </w:pPr>
      <w:r w:rsidRPr="007E3831">
        <w:t>Date</w:t>
      </w:r>
      <w:r w:rsidRPr="00E21AD2">
        <w:rPr>
          <w:highlight w:val="yellow"/>
        </w:rPr>
        <w:t>:</w:t>
      </w:r>
      <w:r w:rsidRPr="007E3831">
        <w:t xml:space="preserve"> </w:t>
      </w:r>
      <w:bookmarkStart w:id="0" w:name="ALJSignDateNotice"/>
      <w:r w:rsidRPr="007E3831">
        <w:rPr>
          <w:snapToGrid w:val="0"/>
        </w:rPr>
        <w:t xml:space="preserve"> </w:t>
      </w:r>
      <w:bookmarkEnd w:id="0"/>
    </w:p>
    <w:p w:rsidR="00E07EDB" w:rsidRPr="007E3831" w:rsidRDefault="00E07EDB" w:rsidP="00B16097">
      <w:pPr>
        <w:framePr w:w="4320" w:h="576" w:wrap="notBeside" w:vAnchor="page" w:hAnchor="page" w:x="1441" w:y="1006"/>
        <w:shd w:val="solid" w:color="FFFFFF" w:fill="FFFFFF"/>
      </w:pPr>
      <w:r w:rsidRPr="007E3831">
        <w:t xml:space="preserve">Refer To: </w:t>
      </w:r>
      <w:r w:rsidRPr="00E21AD2">
        <w:rPr>
          <w:highlight w:val="yellow"/>
        </w:rPr>
        <w:t>SSN</w:t>
      </w:r>
    </w:p>
    <w:p w:rsidR="00E07EDB" w:rsidRPr="00E21AD2" w:rsidRDefault="00E07EDB" w:rsidP="00B16097">
      <w:pPr>
        <w:rPr>
          <w:highlight w:val="yellow"/>
        </w:rPr>
      </w:pPr>
      <w:r w:rsidRPr="00E21AD2">
        <w:rPr>
          <w:highlight w:val="yellow"/>
        </w:rPr>
        <w:t>First Name Last Name</w:t>
      </w:r>
    </w:p>
    <w:p w:rsidR="00E07EDB" w:rsidRPr="00E21AD2" w:rsidRDefault="00E07EDB" w:rsidP="00B16097">
      <w:pPr>
        <w:rPr>
          <w:highlight w:val="yellow"/>
        </w:rPr>
      </w:pPr>
      <w:r w:rsidRPr="00E21AD2">
        <w:rPr>
          <w:highlight w:val="yellow"/>
        </w:rPr>
        <w:t>Address</w:t>
      </w:r>
    </w:p>
    <w:p w:rsidR="00E07EDB" w:rsidRPr="007E3831" w:rsidRDefault="00E07EDB" w:rsidP="00B16097">
      <w:r w:rsidRPr="00E21AD2">
        <w:rPr>
          <w:highlight w:val="yellow"/>
        </w:rPr>
        <w:t>City, ST Zip Code</w:t>
      </w:r>
    </w:p>
    <w:p w:rsidR="00E07EDB" w:rsidRPr="007E3831" w:rsidRDefault="00E07EDB" w:rsidP="00B16097">
      <w:r w:rsidRPr="007E3831">
        <w:rPr>
          <w:b/>
          <w:noProof/>
          <w:lang w:eastAsia="ja-JP"/>
        </w:rPr>
        <w:drawing>
          <wp:anchor distT="0" distB="0" distL="114300" distR="114300" simplePos="0" relativeHeight="251660288" behindDoc="0" locked="0" layoutInCell="0" allowOverlap="1" wp14:anchorId="5D0D53CF" wp14:editId="5D0D53D0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640080" cy="623570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DB" w:rsidRPr="007E3831" w:rsidRDefault="00E07EDB" w:rsidP="00B16097">
      <w:pPr>
        <w:keepNext/>
        <w:keepLines/>
        <w:tabs>
          <w:tab w:val="left" w:pos="245"/>
          <w:tab w:val="left" w:pos="1685"/>
        </w:tabs>
        <w:rPr>
          <w:sz w:val="28"/>
          <w:szCs w:val="28"/>
        </w:rPr>
      </w:pPr>
      <w:r w:rsidRPr="007E3831">
        <w:rPr>
          <w:b/>
          <w:noProof/>
          <w:lang w:eastAsia="ja-JP"/>
        </w:rPr>
        <w:drawing>
          <wp:anchor distT="0" distB="0" distL="114300" distR="114300" simplePos="0" relativeHeight="251659264" behindDoc="0" locked="0" layoutInCell="0" allowOverlap="1" wp14:anchorId="5D0D53D1" wp14:editId="5D0D53D2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640080" cy="62357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831" w:rsidRPr="007E3831" w:rsidRDefault="00E07EDB" w:rsidP="007E3831">
      <w:pPr>
        <w:keepNext/>
        <w:keepLines/>
        <w:tabs>
          <w:tab w:val="left" w:pos="245"/>
          <w:tab w:val="left" w:pos="1685"/>
        </w:tabs>
        <w:jc w:val="center"/>
        <w:rPr>
          <w:sz w:val="28"/>
          <w:szCs w:val="28"/>
        </w:rPr>
      </w:pPr>
      <w:r w:rsidRPr="007E3831">
        <w:rPr>
          <w:sz w:val="28"/>
          <w:szCs w:val="28"/>
        </w:rPr>
        <w:t xml:space="preserve">Notice of </w:t>
      </w:r>
      <w:r w:rsidR="007E3831" w:rsidRPr="007E3831">
        <w:rPr>
          <w:sz w:val="28"/>
          <w:szCs w:val="28"/>
        </w:rPr>
        <w:t>Redetermination</w:t>
      </w:r>
    </w:p>
    <w:p w:rsidR="007E3831" w:rsidRPr="007E3831" w:rsidRDefault="007E3831" w:rsidP="007E3831">
      <w:pPr>
        <w:keepNext/>
        <w:keepLines/>
        <w:tabs>
          <w:tab w:val="left" w:pos="245"/>
          <w:tab w:val="left" w:pos="1685"/>
        </w:tabs>
        <w:jc w:val="center"/>
      </w:pPr>
    </w:p>
    <w:p w:rsidR="00E07EDB" w:rsidRPr="007E3831" w:rsidRDefault="00E07EDB" w:rsidP="00B16097">
      <w:pPr>
        <w:widowControl w:val="0"/>
      </w:pPr>
      <w:r w:rsidRPr="007E3831">
        <w:t xml:space="preserve">I carefully reviewed the facts of your case and the prior decision </w:t>
      </w:r>
      <w:r w:rsidR="00B62C88" w:rsidRPr="007E3831">
        <w:t xml:space="preserve">by an Administrative Law Judge </w:t>
      </w:r>
      <w:r w:rsidRPr="007E3831">
        <w:t xml:space="preserve">made on </w:t>
      </w:r>
      <w:r w:rsidRPr="00E21AD2">
        <w:rPr>
          <w:b/>
          <w:highlight w:val="yellow"/>
        </w:rPr>
        <w:t>ENTER DATE</w:t>
      </w:r>
      <w:r w:rsidRPr="007E3831">
        <w:t xml:space="preserve">. </w:t>
      </w:r>
    </w:p>
    <w:p w:rsidR="00E07EDB" w:rsidRPr="007E3831" w:rsidRDefault="00E07EDB" w:rsidP="00B16097">
      <w:pPr>
        <w:widowControl w:val="0"/>
        <w:rPr>
          <w:i/>
        </w:rPr>
      </w:pPr>
    </w:p>
    <w:p w:rsidR="007E3831" w:rsidRPr="007E3831" w:rsidRDefault="007E3831" w:rsidP="00B16097">
      <w:pPr>
        <w:widowControl w:val="0"/>
        <w:rPr>
          <w:b/>
        </w:rPr>
      </w:pPr>
      <w:r>
        <w:rPr>
          <w:b/>
        </w:rPr>
        <w:t>Why I Review</w:t>
      </w:r>
      <w:r w:rsidR="009B56E4">
        <w:rPr>
          <w:b/>
        </w:rPr>
        <w:t>ed</w:t>
      </w:r>
      <w:r>
        <w:rPr>
          <w:b/>
        </w:rPr>
        <w:t xml:space="preserve"> Your Case</w:t>
      </w:r>
    </w:p>
    <w:p w:rsidR="00E07EDB" w:rsidRPr="007E3831" w:rsidRDefault="00E07EDB" w:rsidP="00B16097">
      <w:pPr>
        <w:widowControl w:val="0"/>
      </w:pPr>
      <w:r w:rsidRPr="007E3831">
        <w:t xml:space="preserve"> </w:t>
      </w:r>
    </w:p>
    <w:p w:rsidR="009B56E4" w:rsidRDefault="00C82426" w:rsidP="00E07EDB">
      <w:r w:rsidRPr="00A36FA3">
        <w:t xml:space="preserve">The </w:t>
      </w:r>
      <w:r w:rsidR="003B35CF">
        <w:t>New York County District Attorney’s Office</w:t>
      </w:r>
      <w:r w:rsidR="002F6A53">
        <w:t xml:space="preserve"> (DA)</w:t>
      </w:r>
      <w:r w:rsidRPr="00A36FA3">
        <w:t xml:space="preserve"> and the Office of the Inspector General of the Social Security Administration conducted an extensive criminal investigation</w:t>
      </w:r>
      <w:r w:rsidR="002314CF">
        <w:t xml:space="preserve"> that </w:t>
      </w:r>
      <w:r w:rsidRPr="00A36FA3">
        <w:t xml:space="preserve">resulted in </w:t>
      </w:r>
      <w:r w:rsidR="009B56E4">
        <w:t>th</w:t>
      </w:r>
      <w:r w:rsidRPr="00A36FA3">
        <w:t xml:space="preserve">e criminal indictment of </w:t>
      </w:r>
      <w:r w:rsidR="003B35CF">
        <w:t>Raymond Lavallee, Thomas Hale, Joseph Esposito, and John Minerva</w:t>
      </w:r>
      <w:r w:rsidR="002314CF">
        <w:t xml:space="preserve">.  Those individuals, and numerous others, </w:t>
      </w:r>
      <w:r w:rsidR="003B35CF">
        <w:t xml:space="preserve">were </w:t>
      </w:r>
      <w:r w:rsidRPr="00A36FA3">
        <w:t>charged with making false statements to the Social Security Administration</w:t>
      </w:r>
      <w:r>
        <w:t xml:space="preserve"> (SSA). </w:t>
      </w:r>
      <w:r w:rsidR="009B56E4">
        <w:t xml:space="preserve"> </w:t>
      </w:r>
      <w:r w:rsidR="00B05795">
        <w:t>More than one of these individuals has pled guilty to involvement in the fraudulent scheme</w:t>
      </w:r>
      <w:r w:rsidR="0013538D" w:rsidRPr="0013538D">
        <w:t>.</w:t>
      </w:r>
    </w:p>
    <w:p w:rsidR="009B56E4" w:rsidRDefault="009B56E4" w:rsidP="00E07EDB"/>
    <w:p w:rsidR="002F6A53" w:rsidRDefault="00C82426" w:rsidP="00E21AD2">
      <w:r w:rsidRPr="00A36FA3">
        <w:t xml:space="preserve">One or more of these indicted individuals provided evidence </w:t>
      </w:r>
      <w:r w:rsidR="009B56E4">
        <w:t xml:space="preserve">in your case </w:t>
      </w:r>
      <w:r w:rsidR="00F66711">
        <w:t xml:space="preserve">that we considered in finding </w:t>
      </w:r>
      <w:r w:rsidR="005A2EB2">
        <w:t>that you were</w:t>
      </w:r>
      <w:r w:rsidR="009B56E4">
        <w:t xml:space="preserve"> disabled.  </w:t>
      </w:r>
      <w:r>
        <w:t>By law, we must redetermine your claim and disregard the</w:t>
      </w:r>
      <w:r w:rsidR="009B56E4">
        <w:t xml:space="preserve"> evidence from</w:t>
      </w:r>
      <w:r>
        <w:t xml:space="preserve"> </w:t>
      </w:r>
      <w:r w:rsidR="009B56E4">
        <w:t xml:space="preserve">one or more of these </w:t>
      </w:r>
      <w:r>
        <w:t>source</w:t>
      </w:r>
      <w:r w:rsidR="009B56E4">
        <w:t>s</w:t>
      </w:r>
      <w:r w:rsidR="000F1576">
        <w:t>, as well as the other evidence described below</w:t>
      </w:r>
      <w:r w:rsidR="009B56E4">
        <w:t>.</w:t>
      </w:r>
      <w:r w:rsidR="003B35CF">
        <w:t xml:space="preserve"> </w:t>
      </w:r>
    </w:p>
    <w:p w:rsidR="007E3831" w:rsidRPr="007E3831" w:rsidRDefault="007E3831" w:rsidP="00E07EDB"/>
    <w:p w:rsidR="00E07EDB" w:rsidRPr="007E3831" w:rsidRDefault="009B56E4" w:rsidP="00E07EDB">
      <w:pPr>
        <w:rPr>
          <w:b/>
        </w:rPr>
      </w:pPr>
      <w:r>
        <w:rPr>
          <w:b/>
        </w:rPr>
        <w:t>What Actions I Am Taking</w:t>
      </w:r>
    </w:p>
    <w:p w:rsidR="00E07EDB" w:rsidRPr="007E3831" w:rsidRDefault="00E07EDB" w:rsidP="00E07EDB"/>
    <w:p w:rsidR="005652A8" w:rsidRDefault="007E3831" w:rsidP="00E07EDB">
      <w:r w:rsidRPr="007E3831">
        <w:t>I am disregarding</w:t>
      </w:r>
      <w:r w:rsidR="0012637D">
        <w:t xml:space="preserve"> evidence in your case</w:t>
      </w:r>
      <w:r w:rsidR="00251D25">
        <w:t xml:space="preserve"> that was used to find you disabled.</w:t>
      </w:r>
      <w:r w:rsidR="009B56E4">
        <w:t xml:space="preserve">  We cannot consider evidence</w:t>
      </w:r>
      <w:r w:rsidR="00901989">
        <w:t xml:space="preserve"> from a source who </w:t>
      </w:r>
      <w:r w:rsidRPr="007E3831">
        <w:t>was indicted</w:t>
      </w:r>
      <w:r w:rsidR="00E679D7">
        <w:t xml:space="preserve"> or discredited</w:t>
      </w:r>
      <w:r w:rsidRPr="007E3831">
        <w:t xml:space="preserve"> for giving </w:t>
      </w:r>
      <w:r w:rsidR="003B35CF">
        <w:t>SSA</w:t>
      </w:r>
      <w:r w:rsidRPr="007E3831">
        <w:t xml:space="preserve"> fraudulent </w:t>
      </w:r>
      <w:r w:rsidR="003B35CF">
        <w:t>information</w:t>
      </w:r>
      <w:r w:rsidR="002F6A53">
        <w:t xml:space="preserve">.  We also cannot consider certain evidence </w:t>
      </w:r>
      <w:r w:rsidR="009B56E4">
        <w:t xml:space="preserve">from a source </w:t>
      </w:r>
      <w:r w:rsidR="002F6A53">
        <w:t xml:space="preserve">that </w:t>
      </w:r>
      <w:r w:rsidR="003B35CF">
        <w:t xml:space="preserve">has been discredited based on associations with </w:t>
      </w:r>
      <w:r w:rsidR="002F6A53">
        <w:t>individuals indicted</w:t>
      </w:r>
      <w:r w:rsidR="003B35CF">
        <w:t xml:space="preserve"> for giving SSA fraudulent information.</w:t>
      </w:r>
      <w:r w:rsidR="00B64F2A">
        <w:t xml:space="preserve">  </w:t>
      </w:r>
      <w:r w:rsidR="00FA0CCE">
        <w:t xml:space="preserve"> </w:t>
      </w:r>
    </w:p>
    <w:p w:rsidR="00B64F2A" w:rsidRDefault="00B64F2A" w:rsidP="00B64F2A"/>
    <w:p w:rsidR="00B64F2A" w:rsidRDefault="00B64F2A" w:rsidP="00B64F2A">
      <w:r>
        <w:t>In addition to</w:t>
      </w:r>
      <w:r w:rsidR="00251D25">
        <w:t xml:space="preserve"> information provided by</w:t>
      </w:r>
      <w:r>
        <w:t xml:space="preserve"> the indicted individuals named above, SSA is not allowed to consider:</w:t>
      </w:r>
    </w:p>
    <w:p w:rsidR="00B64F2A" w:rsidRDefault="00B64F2A" w:rsidP="00B64F2A">
      <w:pPr>
        <w:pStyle w:val="ListParagraph"/>
        <w:numPr>
          <w:ilvl w:val="0"/>
          <w:numId w:val="4"/>
        </w:numPr>
      </w:pPr>
      <w:r>
        <w:t>Evidence from discredited medical sources, including Dr. Edward Sodaro and Dr. Raymond Pierre-Paul;</w:t>
      </w:r>
    </w:p>
    <w:p w:rsidR="00B64F2A" w:rsidRDefault="00B64F2A" w:rsidP="00B64F2A">
      <w:pPr>
        <w:pStyle w:val="ListParagraph"/>
        <w:numPr>
          <w:ilvl w:val="0"/>
          <w:numId w:val="4"/>
        </w:numPr>
      </w:pPr>
      <w:r>
        <w:t>Any of your allegations regarding a mental impairment diagnosed by a</w:t>
      </w:r>
      <w:r w:rsidR="00341AB7">
        <w:t xml:space="preserve"> </w:t>
      </w:r>
      <w:r>
        <w:t xml:space="preserve">discredited doctor; or </w:t>
      </w:r>
    </w:p>
    <w:p w:rsidR="00B64F2A" w:rsidRDefault="009177DA" w:rsidP="00B64F2A">
      <w:pPr>
        <w:pStyle w:val="ListParagraph"/>
        <w:numPr>
          <w:ilvl w:val="0"/>
          <w:numId w:val="4"/>
        </w:numPr>
      </w:pPr>
      <w:r>
        <w:t>M</w:t>
      </w:r>
      <w:r w:rsidR="00251D25">
        <w:t>edical e</w:t>
      </w:r>
      <w:r w:rsidR="00B64F2A">
        <w:t>vidence</w:t>
      </w:r>
      <w:r>
        <w:t xml:space="preserve"> from other sources</w:t>
      </w:r>
      <w:r w:rsidR="00251D25">
        <w:t xml:space="preserve"> that is</w:t>
      </w:r>
      <w:r w:rsidR="00B64F2A">
        <w:t xml:space="preserve"> based in whole or in part on your </w:t>
      </w:r>
      <w:r w:rsidR="00341AB7">
        <w:t xml:space="preserve">allegations </w:t>
      </w:r>
      <w:r w:rsidR="00B64F2A">
        <w:t>of a mental impairment alleged in your</w:t>
      </w:r>
      <w:r w:rsidR="00341AB7">
        <w:t xml:space="preserve"> original</w:t>
      </w:r>
      <w:r w:rsidR="00B64F2A">
        <w:t xml:space="preserve"> application for disability benefits.</w:t>
      </w:r>
    </w:p>
    <w:p w:rsidR="005652A8" w:rsidRDefault="005652A8" w:rsidP="00E07EDB"/>
    <w:p w:rsidR="00933571" w:rsidRPr="007E3831" w:rsidRDefault="005652A8" w:rsidP="00933571">
      <w:r w:rsidRPr="007E3831">
        <w:t xml:space="preserve">I carefully reviewed the facts of your case, excluding </w:t>
      </w:r>
      <w:r>
        <w:t>th</w:t>
      </w:r>
      <w:r w:rsidR="00D86674">
        <w:t>e</w:t>
      </w:r>
      <w:r>
        <w:t xml:space="preserve"> evidence </w:t>
      </w:r>
      <w:r w:rsidR="00341AB7">
        <w:t>tainted by</w:t>
      </w:r>
      <w:r>
        <w:t xml:space="preserve"> fraud.  I found that </w:t>
      </w:r>
      <w:r w:rsidRPr="007E3831">
        <w:t xml:space="preserve">the </w:t>
      </w:r>
      <w:r>
        <w:t xml:space="preserve">prior </w:t>
      </w:r>
      <w:r w:rsidRPr="007E3831">
        <w:t xml:space="preserve">decision in your case </w:t>
      </w:r>
      <w:r>
        <w:t>that you are disabled</w:t>
      </w:r>
      <w:r w:rsidR="00292153">
        <w:t xml:space="preserve"> may</w:t>
      </w:r>
      <w:r w:rsidR="00292153" w:rsidRPr="007E3831">
        <w:t xml:space="preserve"> </w:t>
      </w:r>
      <w:r w:rsidRPr="007E3831">
        <w:t>not</w:t>
      </w:r>
      <w:r w:rsidR="00292153">
        <w:t xml:space="preserve"> be</w:t>
      </w:r>
      <w:r w:rsidRPr="007E3831">
        <w:t xml:space="preserve"> supported.  </w:t>
      </w:r>
      <w:r w:rsidR="0012637D">
        <w:t xml:space="preserve">Please read the full </w:t>
      </w:r>
      <w:r w:rsidR="00933571" w:rsidRPr="007E3831">
        <w:t xml:space="preserve">explanation </w:t>
      </w:r>
      <w:r w:rsidR="0012637D">
        <w:t>in the Decision below</w:t>
      </w:r>
      <w:r w:rsidR="00933571" w:rsidRPr="007E3831">
        <w:t xml:space="preserve">. </w:t>
      </w:r>
      <w:r w:rsidR="00933571">
        <w:t xml:space="preserve"> </w:t>
      </w:r>
    </w:p>
    <w:p w:rsidR="009B56E4" w:rsidRDefault="009B56E4" w:rsidP="009B56E4">
      <w:pPr>
        <w:rPr>
          <w:b/>
        </w:rPr>
      </w:pPr>
    </w:p>
    <w:p w:rsidR="009B56E4" w:rsidRPr="007E3831" w:rsidRDefault="009B56E4" w:rsidP="009B56E4">
      <w:pPr>
        <w:rPr>
          <w:b/>
        </w:rPr>
      </w:pPr>
      <w:r>
        <w:rPr>
          <w:b/>
        </w:rPr>
        <w:t>What Happens Now</w:t>
      </w:r>
    </w:p>
    <w:p w:rsidR="00933571" w:rsidRDefault="00933571" w:rsidP="00E07EDB"/>
    <w:p w:rsidR="00D86674" w:rsidRDefault="005652A8">
      <w:r>
        <w:t xml:space="preserve">By law, </w:t>
      </w:r>
      <w:r w:rsidR="009B56E4">
        <w:t xml:space="preserve">SSA </w:t>
      </w:r>
      <w:r>
        <w:t xml:space="preserve">must redetermine your case, which means that </w:t>
      </w:r>
      <w:r w:rsidR="009B56E4">
        <w:t xml:space="preserve">we will </w:t>
      </w:r>
      <w:r>
        <w:t>again</w:t>
      </w:r>
      <w:r w:rsidR="009B56E4">
        <w:t xml:space="preserve"> consider whether </w:t>
      </w:r>
      <w:r>
        <w:t xml:space="preserve">you </w:t>
      </w:r>
      <w:r w:rsidR="00A36FA3">
        <w:t xml:space="preserve">were </w:t>
      </w:r>
      <w:r>
        <w:t>disabled</w:t>
      </w:r>
      <w:r w:rsidR="00A36FA3">
        <w:t xml:space="preserve"> as of </w:t>
      </w:r>
      <w:r w:rsidR="00A36FA3" w:rsidRPr="00C84530">
        <w:rPr>
          <w:highlight w:val="yellow"/>
        </w:rPr>
        <w:t>[Allowance Date]</w:t>
      </w:r>
      <w:r w:rsidR="00A36FA3">
        <w:t>, the date you were originally awarded benefits</w:t>
      </w:r>
      <w:r>
        <w:t xml:space="preserve">.  However, I must ignore </w:t>
      </w:r>
      <w:r w:rsidR="0012637D">
        <w:t>certain</w:t>
      </w:r>
      <w:r>
        <w:t xml:space="preserve"> evidence in </w:t>
      </w:r>
      <w:r w:rsidR="0012637D">
        <w:t xml:space="preserve">your file in </w:t>
      </w:r>
      <w:r>
        <w:t xml:space="preserve">deciding whether you are disabled.  </w:t>
      </w:r>
    </w:p>
    <w:p w:rsidR="009B56E4" w:rsidRDefault="009B56E4" w:rsidP="007E3831"/>
    <w:p w:rsidR="00F94F6D" w:rsidRDefault="00F94F6D" w:rsidP="007E3831">
      <w:r w:rsidRPr="007E3831">
        <w:t>I wil</w:t>
      </w:r>
      <w:r>
        <w:t xml:space="preserve">l consider all the other issues </w:t>
      </w:r>
      <w:r w:rsidRPr="007E3831">
        <w:t>related to your disability cl</w:t>
      </w:r>
      <w:r>
        <w:t xml:space="preserve">aim, and your case will be decided on all evidence that is not required to be excluded.  You may submit new evidence that shows you were disabled prior to </w:t>
      </w:r>
      <w:r w:rsidRPr="00C84530">
        <w:rPr>
          <w:highlight w:val="yellow"/>
        </w:rPr>
        <w:t>[Allowance Date]</w:t>
      </w:r>
      <w:r>
        <w:t xml:space="preserve">, but I will only consider </w:t>
      </w:r>
      <w:r w:rsidR="009177DA">
        <w:t xml:space="preserve">untainted </w:t>
      </w:r>
      <w:r>
        <w:t>evidence of</w:t>
      </w:r>
      <w:r w:rsidR="003B35CF">
        <w:t xml:space="preserve"> </w:t>
      </w:r>
      <w:r>
        <w:t xml:space="preserve">impairments that you had prior to that date.  You may submit arguments that </w:t>
      </w:r>
      <w:r w:rsidR="00FC58EE">
        <w:t>you were</w:t>
      </w:r>
      <w:r w:rsidR="00FC58EE" w:rsidRPr="00FC58EE">
        <w:t xml:space="preserve"> entitled to benefits at the time of </w:t>
      </w:r>
      <w:r w:rsidR="00FC58EE">
        <w:t>your</w:t>
      </w:r>
      <w:r w:rsidR="00FC58EE" w:rsidRPr="00FC58EE">
        <w:t xml:space="preserve"> original </w:t>
      </w:r>
      <w:r w:rsidR="00FC58EE">
        <w:t>award</w:t>
      </w:r>
      <w:r w:rsidR="00E679D7">
        <w:t>.</w:t>
      </w:r>
      <w:r w:rsidR="005652A8">
        <w:t xml:space="preserve">  </w:t>
      </w:r>
    </w:p>
    <w:p w:rsidR="00F94F6D" w:rsidRDefault="00F94F6D" w:rsidP="007E3831"/>
    <w:p w:rsidR="00F94F6D" w:rsidRDefault="00F94F6D" w:rsidP="00F94F6D">
      <w:r>
        <w:t xml:space="preserve">If you are entitled to a hearing on this matter, you will soon receive a notice regarding that right.  If you are not entitled to another hearing, you will receive a new written decision in the mail. </w:t>
      </w:r>
    </w:p>
    <w:p w:rsidR="00F94F6D" w:rsidRDefault="00F94F6D" w:rsidP="007E3831"/>
    <w:p w:rsidR="005847E0" w:rsidRDefault="005847E0" w:rsidP="005847E0">
      <w:pPr>
        <w:keepNext/>
        <w:widowControl w:val="0"/>
      </w:pPr>
      <w:r>
        <w:rPr>
          <w:b/>
        </w:rPr>
        <w:t>If You Have Any Questions</w:t>
      </w:r>
    </w:p>
    <w:p w:rsidR="005847E0" w:rsidRDefault="005847E0" w:rsidP="005847E0">
      <w:pPr>
        <w:keepNext/>
        <w:widowControl w:val="0"/>
      </w:pPr>
    </w:p>
    <w:p w:rsidR="00D86674" w:rsidRDefault="00D86674" w:rsidP="00B16097">
      <w:pPr>
        <w:keepNext/>
        <w:widowControl w:val="0"/>
      </w:pPr>
      <w:r>
        <w:t xml:space="preserve">If you have any questions, please call, </w:t>
      </w:r>
      <w:r w:rsidRPr="00E21AD2">
        <w:rPr>
          <w:highlight w:val="yellow"/>
        </w:rPr>
        <w:t>(ENTER HO PHONE NUMBER)</w:t>
      </w:r>
      <w:r>
        <w:t>, or write this office. For your convenience, our address is on the first page of this notice.</w:t>
      </w:r>
    </w:p>
    <w:p w:rsidR="00D86674" w:rsidRDefault="00D86674" w:rsidP="00B16097">
      <w:pPr>
        <w:keepNext/>
        <w:widowControl w:val="0"/>
      </w:pPr>
    </w:p>
    <w:p w:rsidR="002B6CBE" w:rsidRDefault="002B6CBE" w:rsidP="00B16097">
      <w:pPr>
        <w:keepNext/>
        <w:widowControl w:val="0"/>
      </w:pPr>
    </w:p>
    <w:p w:rsidR="002B6CBE" w:rsidRDefault="002B6CBE" w:rsidP="00B16097">
      <w:pPr>
        <w:keepNext/>
        <w:widowControl w:val="0"/>
      </w:pPr>
    </w:p>
    <w:p w:rsidR="005847E0" w:rsidRPr="007E3831" w:rsidRDefault="005847E0" w:rsidP="00B16097">
      <w:pPr>
        <w:keepNext/>
        <w:widowControl w:val="0"/>
      </w:pPr>
    </w:p>
    <w:p w:rsidR="00E07EDB" w:rsidRPr="007E3831" w:rsidRDefault="00E07EDB" w:rsidP="00B16097">
      <w:pPr>
        <w:pStyle w:val="BodyTextIndent"/>
        <w:keepNext/>
        <w:widowControl w:val="0"/>
        <w:ind w:left="5040"/>
      </w:pPr>
      <w:r w:rsidRPr="007E3831">
        <w:t>Administrative Law Judge</w:t>
      </w:r>
    </w:p>
    <w:p w:rsidR="00E07EDB" w:rsidRPr="007E3831" w:rsidRDefault="00E07EDB" w:rsidP="00B16097">
      <w:pPr>
        <w:keepNext/>
        <w:widowControl w:val="0"/>
        <w:rPr>
          <w:highlight w:val="blue"/>
        </w:rPr>
      </w:pPr>
    </w:p>
    <w:p w:rsidR="00E07EDB" w:rsidRPr="007E3831" w:rsidRDefault="00E07EDB" w:rsidP="00B16097"/>
    <w:p w:rsidR="00E07EDB" w:rsidRPr="007E3831" w:rsidRDefault="00E07EDB" w:rsidP="00B16097">
      <w:pPr>
        <w:keepNext/>
      </w:pPr>
      <w:r w:rsidRPr="007E3831">
        <w:t>Enclosures:</w:t>
      </w:r>
    </w:p>
    <w:p w:rsidR="00E07EDB" w:rsidRPr="007E3831" w:rsidRDefault="00E07EDB" w:rsidP="00B16097">
      <w:pPr>
        <w:keepNext/>
      </w:pPr>
      <w:r w:rsidRPr="007E3831">
        <w:t>Rationale</w:t>
      </w:r>
    </w:p>
    <w:p w:rsidR="00E07EDB" w:rsidRPr="007E3831" w:rsidRDefault="00E07EDB" w:rsidP="00B16097">
      <w:pPr>
        <w:keepNext/>
      </w:pPr>
      <w:bookmarkStart w:id="1" w:name="EnclInsertPoint"/>
      <w:bookmarkEnd w:id="1"/>
    </w:p>
    <w:p w:rsidR="00E07EDB" w:rsidRPr="007E3831" w:rsidRDefault="00E07EDB" w:rsidP="00B16097">
      <w:pPr>
        <w:keepNext/>
      </w:pPr>
    </w:p>
    <w:p w:rsidR="00E07EDB" w:rsidRPr="007E3831" w:rsidRDefault="00E07EDB">
      <w:pPr>
        <w:sectPr w:rsidR="00E07EDB" w:rsidRPr="007E3831" w:rsidSect="00E07EDB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E07EDB" w:rsidRPr="007E3831" w:rsidRDefault="00E07EDB" w:rsidP="00B16097">
      <w:pPr>
        <w:keepNext/>
        <w:keepLines/>
        <w:tabs>
          <w:tab w:val="left" w:pos="245"/>
          <w:tab w:val="left" w:pos="1685"/>
        </w:tabs>
        <w:jc w:val="center"/>
        <w:rPr>
          <w:b/>
          <w:snapToGrid w:val="0"/>
        </w:rPr>
      </w:pPr>
      <w:r w:rsidRPr="007E3831">
        <w:rPr>
          <w:b/>
          <w:snapToGrid w:val="0"/>
        </w:rPr>
        <w:t>SOCIAL SECURITY ADMINISTRATION</w:t>
      </w:r>
    </w:p>
    <w:p w:rsidR="00E07EDB" w:rsidRPr="007E3831" w:rsidRDefault="00E07EDB" w:rsidP="00B16097">
      <w:pPr>
        <w:widowControl w:val="0"/>
        <w:jc w:val="center"/>
        <w:outlineLvl w:val="0"/>
        <w:rPr>
          <w:b/>
          <w:snapToGrid w:val="0"/>
        </w:rPr>
      </w:pPr>
      <w:r w:rsidRPr="007E3831">
        <w:rPr>
          <w:b/>
          <w:snapToGrid w:val="0"/>
        </w:rPr>
        <w:t>Office of Disability Adjudication and Review</w:t>
      </w:r>
    </w:p>
    <w:p w:rsidR="00E07EDB" w:rsidRPr="007E3831" w:rsidRDefault="00E07EDB" w:rsidP="00B16097">
      <w:pPr>
        <w:widowControl w:val="0"/>
        <w:rPr>
          <w:snapToGrid w:val="0"/>
        </w:rPr>
      </w:pPr>
    </w:p>
    <w:p w:rsidR="00E07EDB" w:rsidRPr="007E3831" w:rsidRDefault="00E07EDB" w:rsidP="00B16097">
      <w:pPr>
        <w:widowControl w:val="0"/>
        <w:jc w:val="center"/>
        <w:rPr>
          <w:b/>
          <w:snapToGrid w:val="0"/>
        </w:rPr>
      </w:pPr>
      <w:r w:rsidRPr="007E3831">
        <w:rPr>
          <w:b/>
          <w:snapToGrid w:val="0"/>
        </w:rPr>
        <w:t>DECISION</w:t>
      </w:r>
      <w:r w:rsidR="005847E0">
        <w:rPr>
          <w:b/>
          <w:snapToGrid w:val="0"/>
        </w:rPr>
        <w:t xml:space="preserve"> TO REDETERMINE</w:t>
      </w:r>
    </w:p>
    <w:p w:rsidR="00E07EDB" w:rsidRPr="007E3831" w:rsidRDefault="00E07EDB" w:rsidP="00B16097">
      <w:pPr>
        <w:widowControl w:val="0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1260"/>
        <w:gridCol w:w="4410"/>
      </w:tblGrid>
      <w:tr w:rsidR="007E3831" w:rsidRPr="007E3831">
        <w:tc>
          <w:tcPr>
            <w:tcW w:w="3888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b/>
                <w:snapToGrid w:val="0"/>
                <w:szCs w:val="22"/>
                <w:u w:val="single"/>
              </w:rPr>
            </w:pPr>
            <w:r w:rsidRPr="007E3831">
              <w:rPr>
                <w:rFonts w:eastAsia="Calibri"/>
                <w:b/>
                <w:snapToGrid w:val="0"/>
                <w:szCs w:val="22"/>
                <w:u w:val="single"/>
              </w:rPr>
              <w:t>IN THE CASE OF</w:t>
            </w:r>
          </w:p>
        </w:tc>
        <w:tc>
          <w:tcPr>
            <w:tcW w:w="1260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b/>
                <w:snapToGrid w:val="0"/>
                <w:szCs w:val="22"/>
              </w:rPr>
            </w:pPr>
          </w:p>
        </w:tc>
        <w:tc>
          <w:tcPr>
            <w:tcW w:w="4410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b/>
                <w:snapToGrid w:val="0"/>
                <w:szCs w:val="22"/>
                <w:u w:val="single"/>
              </w:rPr>
            </w:pPr>
            <w:r w:rsidRPr="007E3831">
              <w:rPr>
                <w:rFonts w:eastAsia="Calibri"/>
                <w:b/>
                <w:snapToGrid w:val="0"/>
                <w:szCs w:val="22"/>
                <w:u w:val="single"/>
              </w:rPr>
              <w:t>CLAIM FOR</w:t>
            </w:r>
          </w:p>
        </w:tc>
      </w:tr>
      <w:tr w:rsidR="007E3831" w:rsidRPr="007E3831">
        <w:tc>
          <w:tcPr>
            <w:tcW w:w="3888" w:type="dxa"/>
            <w:vAlign w:val="bottom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  <w:tc>
          <w:tcPr>
            <w:tcW w:w="4410" w:type="dxa"/>
            <w:vAlign w:val="bottom"/>
          </w:tcPr>
          <w:p w:rsidR="00E07EDB" w:rsidRPr="007E3831" w:rsidRDefault="00E07EDB" w:rsidP="00B16097">
            <w:pPr>
              <w:widowControl w:val="0"/>
              <w:rPr>
                <w:rFonts w:eastAsia="Calibri"/>
                <w:szCs w:val="22"/>
              </w:rPr>
            </w:pPr>
          </w:p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</w:tr>
      <w:tr w:rsidR="007E3831" w:rsidRPr="007E3831">
        <w:tc>
          <w:tcPr>
            <w:tcW w:w="3888" w:type="dxa"/>
            <w:tcBorders>
              <w:top w:val="single" w:sz="4" w:space="0" w:color="auto"/>
            </w:tcBorders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  <w:r w:rsidRPr="007E3831">
              <w:rPr>
                <w:rFonts w:eastAsia="Calibri"/>
                <w:snapToGrid w:val="0"/>
                <w:szCs w:val="22"/>
              </w:rPr>
              <w:t>(Claimant)</w:t>
            </w:r>
          </w:p>
        </w:tc>
        <w:tc>
          <w:tcPr>
            <w:tcW w:w="1260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E07EDB" w:rsidRPr="007E3831" w:rsidRDefault="00E21AD2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  <w:r>
              <w:rPr>
                <w:rFonts w:eastAsia="Calibri"/>
                <w:snapToGrid w:val="0"/>
                <w:szCs w:val="22"/>
              </w:rPr>
              <w:t>(</w:t>
            </w:r>
            <w:r w:rsidRPr="00E21AD2">
              <w:rPr>
                <w:rFonts w:eastAsia="Calibri"/>
                <w:snapToGrid w:val="0"/>
                <w:szCs w:val="22"/>
                <w:highlight w:val="yellow"/>
              </w:rPr>
              <w:t>Type of claim</w:t>
            </w:r>
            <w:r>
              <w:rPr>
                <w:rFonts w:eastAsia="Calibri"/>
                <w:snapToGrid w:val="0"/>
                <w:szCs w:val="22"/>
              </w:rPr>
              <w:t>)</w:t>
            </w:r>
          </w:p>
        </w:tc>
      </w:tr>
      <w:tr w:rsidR="007E3831" w:rsidRPr="007E3831">
        <w:tc>
          <w:tcPr>
            <w:tcW w:w="3888" w:type="dxa"/>
            <w:vAlign w:val="bottom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  <w:r w:rsidRPr="007E3831">
              <w:rPr>
                <w:rFonts w:eastAsia="Calibri"/>
                <w:snapToGrid w:val="0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  <w:tc>
          <w:tcPr>
            <w:tcW w:w="4410" w:type="dxa"/>
            <w:vAlign w:val="bottom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</w:tr>
      <w:tr w:rsidR="00E07EDB" w:rsidRPr="007E3831">
        <w:tc>
          <w:tcPr>
            <w:tcW w:w="3888" w:type="dxa"/>
            <w:tcBorders>
              <w:top w:val="single" w:sz="4" w:space="0" w:color="auto"/>
            </w:tcBorders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  <w:r w:rsidRPr="007E3831">
              <w:rPr>
                <w:rFonts w:eastAsia="Calibri"/>
                <w:snapToGrid w:val="0"/>
                <w:szCs w:val="22"/>
              </w:rPr>
              <w:t>(Wage Earner)</w:t>
            </w:r>
          </w:p>
        </w:tc>
        <w:tc>
          <w:tcPr>
            <w:tcW w:w="1260" w:type="dxa"/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E07EDB" w:rsidRPr="007E3831" w:rsidRDefault="00E07EDB" w:rsidP="00B16097">
            <w:pPr>
              <w:widowControl w:val="0"/>
              <w:rPr>
                <w:rFonts w:eastAsia="Calibri"/>
                <w:snapToGrid w:val="0"/>
                <w:szCs w:val="22"/>
              </w:rPr>
            </w:pPr>
            <w:r w:rsidRPr="007E3831">
              <w:rPr>
                <w:rFonts w:eastAsia="Calibri"/>
                <w:snapToGrid w:val="0"/>
                <w:szCs w:val="22"/>
              </w:rPr>
              <w:t>(Social Security Number)</w:t>
            </w:r>
          </w:p>
        </w:tc>
      </w:tr>
    </w:tbl>
    <w:p w:rsidR="00E07EDB" w:rsidRPr="007E3831" w:rsidRDefault="00E07EDB" w:rsidP="00B16097"/>
    <w:p w:rsidR="005847E0" w:rsidRDefault="005847E0" w:rsidP="005847E0">
      <w:pPr>
        <w:pStyle w:val="StyleBoldUnderlineCentered"/>
      </w:pPr>
      <w:r>
        <w:t>JURISDICTION AND PROCEDURAL HISTORY</w:t>
      </w:r>
    </w:p>
    <w:p w:rsidR="005847E0" w:rsidRDefault="005847E0" w:rsidP="005847E0"/>
    <w:p w:rsidR="00933571" w:rsidRDefault="005847E0" w:rsidP="005847E0">
      <w:pPr>
        <w:rPr>
          <w:snapToGrid w:val="0"/>
        </w:rPr>
      </w:pPr>
      <w:r>
        <w:t xml:space="preserve">On </w:t>
      </w:r>
      <w:r w:rsidR="00933571" w:rsidRPr="00C84530">
        <w:rPr>
          <w:highlight w:val="yellow"/>
        </w:rPr>
        <w:t>[DATE]</w:t>
      </w:r>
      <w:r>
        <w:t xml:space="preserve">, the claimant </w:t>
      </w:r>
      <w:r w:rsidR="00933571" w:rsidRPr="00C84530">
        <w:rPr>
          <w:highlight w:val="yellow"/>
        </w:rPr>
        <w:t>[</w:t>
      </w:r>
      <w:r w:rsidRPr="00C84530">
        <w:rPr>
          <w:highlight w:val="yellow"/>
        </w:rPr>
        <w:t>protectively</w:t>
      </w:r>
      <w:r w:rsidR="00933571" w:rsidRPr="00C84530">
        <w:rPr>
          <w:highlight w:val="yellow"/>
        </w:rPr>
        <w:t>]</w:t>
      </w:r>
      <w:r>
        <w:t xml:space="preserve"> filed a Title II application for a period of disability and disability insurance benefits.  The claimant also </w:t>
      </w:r>
      <w:r w:rsidR="00933571" w:rsidRPr="00C84530">
        <w:rPr>
          <w:highlight w:val="yellow"/>
        </w:rPr>
        <w:t>[</w:t>
      </w:r>
      <w:r w:rsidRPr="00C84530">
        <w:rPr>
          <w:highlight w:val="yellow"/>
        </w:rPr>
        <w:t>protectively</w:t>
      </w:r>
      <w:r w:rsidR="00933571" w:rsidRPr="00C84530">
        <w:rPr>
          <w:highlight w:val="yellow"/>
        </w:rPr>
        <w:t>]</w:t>
      </w:r>
      <w:r>
        <w:t xml:space="preserve"> </w:t>
      </w:r>
      <w:r>
        <w:rPr>
          <w:snapToGrid w:val="0"/>
        </w:rPr>
        <w:t xml:space="preserve">filed a Title XVI application for supplemental security income on </w:t>
      </w:r>
      <w:r w:rsidR="00933571" w:rsidRPr="00C84530">
        <w:rPr>
          <w:highlight w:val="yellow"/>
        </w:rPr>
        <w:t>[DATE]</w:t>
      </w:r>
      <w:r>
        <w:t xml:space="preserve">.  In both applications, the claimant alleged disability beginning </w:t>
      </w:r>
      <w:r w:rsidR="00933571" w:rsidRPr="00C84530">
        <w:rPr>
          <w:highlight w:val="yellow"/>
        </w:rPr>
        <w:t>[DATE]</w:t>
      </w:r>
      <w:r>
        <w:t xml:space="preserve">.  </w:t>
      </w:r>
      <w:r w:rsidR="00933571">
        <w:rPr>
          <w:snapToGrid w:val="0"/>
        </w:rPr>
        <w:t xml:space="preserve">A decision favorable to the claimant was issued on </w:t>
      </w:r>
      <w:r w:rsidR="00933571" w:rsidRPr="00C84530">
        <w:rPr>
          <w:snapToGrid w:val="0"/>
          <w:highlight w:val="yellow"/>
        </w:rPr>
        <w:t>[DATE]</w:t>
      </w:r>
      <w:r w:rsidR="00933571">
        <w:rPr>
          <w:snapToGrid w:val="0"/>
        </w:rPr>
        <w:t>.</w:t>
      </w:r>
    </w:p>
    <w:p w:rsidR="00933571" w:rsidRDefault="00933571" w:rsidP="005847E0">
      <w:pPr>
        <w:rPr>
          <w:snapToGrid w:val="0"/>
        </w:rPr>
      </w:pPr>
    </w:p>
    <w:p w:rsidR="005847E0" w:rsidRDefault="005847E0" w:rsidP="005847E0">
      <w:pPr>
        <w:pStyle w:val="StyleBoldUnderlineCentered"/>
      </w:pPr>
      <w:r>
        <w:t>ISSUES</w:t>
      </w:r>
      <w:r w:rsidR="00933571">
        <w:t xml:space="preserve"> AND APPLICABLE LAW</w:t>
      </w:r>
    </w:p>
    <w:p w:rsidR="005847E0" w:rsidRDefault="005847E0" w:rsidP="005847E0">
      <w:pPr>
        <w:pStyle w:val="StyleBoldUnderlineCentered"/>
      </w:pPr>
    </w:p>
    <w:p w:rsidR="00F9294B" w:rsidRDefault="005C5320" w:rsidP="005847E0">
      <w:pPr>
        <w:pStyle w:val="Default"/>
        <w:rPr>
          <w:rFonts w:eastAsia="Calibri"/>
        </w:rPr>
      </w:pPr>
      <w:r>
        <w:rPr>
          <w:rFonts w:eastAsia="Calibri"/>
        </w:rPr>
        <w:t>Under section</w:t>
      </w:r>
      <w:r w:rsidR="00E658E2" w:rsidRPr="00E658E2">
        <w:rPr>
          <w:rFonts w:eastAsia="Calibri"/>
          <w:highlight w:val="yellow"/>
        </w:rPr>
        <w:t>[</w:t>
      </w:r>
      <w:r w:rsidRPr="00E658E2">
        <w:rPr>
          <w:rFonts w:eastAsia="Calibri"/>
          <w:highlight w:val="yellow"/>
        </w:rPr>
        <w:t>s</w:t>
      </w:r>
      <w:r w:rsidR="00E658E2" w:rsidRPr="00E658E2">
        <w:rPr>
          <w:rFonts w:eastAsia="Calibri"/>
          <w:highlight w:val="yellow"/>
        </w:rPr>
        <w:t>]</w:t>
      </w:r>
      <w:r>
        <w:rPr>
          <w:rFonts w:eastAsia="Calibri"/>
        </w:rPr>
        <w:t xml:space="preserve"> 205(u) </w:t>
      </w:r>
      <w:r w:rsidR="00E658E2" w:rsidRPr="00E658E2">
        <w:rPr>
          <w:rFonts w:eastAsia="Calibri"/>
          <w:highlight w:val="yellow"/>
        </w:rPr>
        <w:t>[</w:t>
      </w:r>
      <w:r w:rsidRPr="00E658E2">
        <w:rPr>
          <w:rFonts w:eastAsia="Calibri"/>
          <w:highlight w:val="yellow"/>
        </w:rPr>
        <w:t>and 1631(e)(7)</w:t>
      </w:r>
      <w:r w:rsidR="00E658E2" w:rsidRPr="00E658E2">
        <w:rPr>
          <w:rFonts w:eastAsia="Calibri"/>
          <w:highlight w:val="yellow"/>
        </w:rPr>
        <w:t>]</w:t>
      </w:r>
      <w:r>
        <w:rPr>
          <w:rFonts w:eastAsia="Calibri"/>
        </w:rPr>
        <w:t xml:space="preserve"> of the Social Security Act</w:t>
      </w:r>
      <w:r w:rsidR="005847E0">
        <w:rPr>
          <w:rFonts w:eastAsia="Calibri"/>
        </w:rPr>
        <w:t xml:space="preserve">, </w:t>
      </w:r>
      <w:r w:rsidR="00EB7DA0">
        <w:rPr>
          <w:rFonts w:eastAsia="Calibri"/>
        </w:rPr>
        <w:t>the Social Security Administration (</w:t>
      </w:r>
      <w:r w:rsidR="005847E0">
        <w:rPr>
          <w:rFonts w:eastAsia="Calibri"/>
        </w:rPr>
        <w:t>SSA</w:t>
      </w:r>
      <w:r w:rsidR="00EB7DA0">
        <w:rPr>
          <w:rFonts w:eastAsia="Calibri"/>
        </w:rPr>
        <w:t>)</w:t>
      </w:r>
      <w:r w:rsidR="005847E0">
        <w:rPr>
          <w:rFonts w:eastAsia="Calibri"/>
        </w:rPr>
        <w:t xml:space="preserve"> </w:t>
      </w:r>
      <w:r w:rsidR="00BD3A42">
        <w:rPr>
          <w:rFonts w:eastAsia="Calibri"/>
        </w:rPr>
        <w:t>must</w:t>
      </w:r>
      <w:r w:rsidR="008F50A9">
        <w:rPr>
          <w:rFonts w:eastAsia="Calibri"/>
        </w:rPr>
        <w:t xml:space="preserve"> immediately</w:t>
      </w:r>
      <w:r w:rsidR="005847E0">
        <w:rPr>
          <w:rFonts w:eastAsia="Calibri"/>
        </w:rPr>
        <w:t xml:space="preserve"> redetermine an individual’s entitlement to </w:t>
      </w:r>
      <w:r w:rsidR="00341AB7">
        <w:rPr>
          <w:rFonts w:eastAsia="Calibri"/>
        </w:rPr>
        <w:t>[</w:t>
      </w:r>
      <w:r w:rsidR="005847E0">
        <w:rPr>
          <w:rFonts w:eastAsia="Calibri"/>
        </w:rPr>
        <w:t xml:space="preserve">disability benefits </w:t>
      </w:r>
      <w:r w:rsidR="002314CF">
        <w:rPr>
          <w:rFonts w:eastAsia="Calibri"/>
        </w:rPr>
        <w:t>and</w:t>
      </w:r>
      <w:r w:rsidR="00341AB7">
        <w:rPr>
          <w:rFonts w:eastAsia="Calibri"/>
        </w:rPr>
        <w:t>/or</w:t>
      </w:r>
      <w:r w:rsidR="002314CF">
        <w:rPr>
          <w:rFonts w:eastAsia="Calibri"/>
        </w:rPr>
        <w:t xml:space="preserve"> supplemental security income] </w:t>
      </w:r>
      <w:r w:rsidR="005847E0">
        <w:rPr>
          <w:rFonts w:eastAsia="Calibri"/>
        </w:rPr>
        <w:t xml:space="preserve">when there is reason to believe fraud or similar fault was involved in that individual’s application for benefits.  In conducting a redetermination, SSA must disregard any evidence that was submitted by an indicted or discredited source. </w:t>
      </w:r>
    </w:p>
    <w:p w:rsidR="00F9294B" w:rsidRDefault="00F9294B" w:rsidP="005847E0">
      <w:pPr>
        <w:pStyle w:val="Default"/>
        <w:rPr>
          <w:rFonts w:eastAsia="Calibri"/>
        </w:rPr>
      </w:pPr>
    </w:p>
    <w:p w:rsidR="005847E0" w:rsidRDefault="009A4022" w:rsidP="005847E0">
      <w:pPr>
        <w:pStyle w:val="Default"/>
        <w:rPr>
          <w:rFonts w:eastAsia="Calibri"/>
        </w:rPr>
      </w:pPr>
      <w:r w:rsidRPr="00A36FA3">
        <w:t xml:space="preserve">The </w:t>
      </w:r>
      <w:r>
        <w:t>New York County District Attorney’s Office (DA)</w:t>
      </w:r>
      <w:r w:rsidRPr="00A36FA3">
        <w:t xml:space="preserve"> and the Office of the Inspector General of the Social Security Administration conducted an extensive criminal investigation</w:t>
      </w:r>
      <w:r w:rsidR="002314CF">
        <w:t xml:space="preserve"> that </w:t>
      </w:r>
      <w:r w:rsidRPr="00A36FA3">
        <w:t xml:space="preserve">resulted in </w:t>
      </w:r>
      <w:r>
        <w:t>th</w:t>
      </w:r>
      <w:r w:rsidRPr="00A36FA3">
        <w:t xml:space="preserve">e criminal indictment of </w:t>
      </w:r>
      <w:r>
        <w:t>Raymond Lavallee, Thomas Hale, Joseph Esposito, and John Minerva</w:t>
      </w:r>
      <w:r w:rsidR="002314CF">
        <w:t>.  Those individuals, and numerous others</w:t>
      </w:r>
      <w:r>
        <w:t xml:space="preserve">, were </w:t>
      </w:r>
      <w:r w:rsidRPr="00A36FA3">
        <w:t xml:space="preserve">charged with making false statements to </w:t>
      </w:r>
      <w:r>
        <w:t>SSA.</w:t>
      </w:r>
      <w:r w:rsidR="008527D3" w:rsidRPr="008527D3">
        <w:t xml:space="preserve"> </w:t>
      </w:r>
      <w:r w:rsidR="00341AB7">
        <w:t xml:space="preserve"> </w:t>
      </w:r>
      <w:r w:rsidR="00B05795">
        <w:t>More than one of these individuals has pled guilty to involvement in the fraudulent scheme</w:t>
      </w:r>
      <w:r w:rsidR="008527D3" w:rsidRPr="008527D3">
        <w:t>.</w:t>
      </w:r>
    </w:p>
    <w:p w:rsidR="00933571" w:rsidRDefault="00933571" w:rsidP="005847E0">
      <w:pPr>
        <w:pStyle w:val="Default"/>
        <w:rPr>
          <w:rFonts w:eastAsia="Calibri"/>
        </w:rPr>
      </w:pPr>
    </w:p>
    <w:p w:rsidR="00933571" w:rsidRPr="006D6387" w:rsidRDefault="003C4C5E" w:rsidP="009177DA">
      <w:pPr>
        <w:rPr>
          <w:bCs/>
        </w:rPr>
      </w:pPr>
      <w:r>
        <w:rPr>
          <w:rFonts w:eastAsia="Calibri"/>
        </w:rPr>
        <w:t xml:space="preserve">In </w:t>
      </w:r>
      <w:r w:rsidR="00933571">
        <w:rPr>
          <w:rFonts w:eastAsia="Calibri"/>
        </w:rPr>
        <w:t>closed cases where an Administrative Law Judge</w:t>
      </w:r>
      <w:r w:rsidR="00E14887">
        <w:rPr>
          <w:rFonts w:eastAsia="Calibri"/>
        </w:rPr>
        <w:t xml:space="preserve"> </w:t>
      </w:r>
      <w:r>
        <w:rPr>
          <w:rFonts w:eastAsia="Calibri"/>
        </w:rPr>
        <w:t>issued a favorable decision</w:t>
      </w:r>
      <w:r w:rsidR="006620B7">
        <w:rPr>
          <w:rFonts w:eastAsia="Calibri"/>
        </w:rPr>
        <w:t xml:space="preserve"> that involved evidence from these </w:t>
      </w:r>
      <w:r w:rsidR="00582EC9">
        <w:rPr>
          <w:rFonts w:eastAsia="Calibri"/>
        </w:rPr>
        <w:t>indicted</w:t>
      </w:r>
      <w:r w:rsidR="008527D3">
        <w:rPr>
          <w:rFonts w:eastAsia="Calibri"/>
        </w:rPr>
        <w:t xml:space="preserve"> or discredited</w:t>
      </w:r>
      <w:r w:rsidR="00582EC9">
        <w:rPr>
          <w:rFonts w:eastAsia="Calibri"/>
        </w:rPr>
        <w:t xml:space="preserve"> individuals</w:t>
      </w:r>
      <w:r w:rsidR="006620B7">
        <w:rPr>
          <w:rFonts w:eastAsia="Calibri"/>
        </w:rPr>
        <w:t xml:space="preserve">, </w:t>
      </w:r>
      <w:r>
        <w:rPr>
          <w:rFonts w:eastAsia="Calibri"/>
        </w:rPr>
        <w:t xml:space="preserve">SSA will </w:t>
      </w:r>
      <w:r w:rsidR="006D6387">
        <w:rPr>
          <w:rFonts w:eastAsia="Calibri"/>
        </w:rPr>
        <w:t xml:space="preserve">determine whether the Administrative Law Judge’s </w:t>
      </w:r>
      <w:r w:rsidR="006D6387" w:rsidRPr="006D6387">
        <w:rPr>
          <w:rFonts w:eastAsia="Calibri"/>
        </w:rPr>
        <w:t>decision is supported</w:t>
      </w:r>
      <w:r w:rsidR="00CC21F6">
        <w:rPr>
          <w:rFonts w:eastAsia="Calibri"/>
          <w:i/>
        </w:rPr>
        <w:t xml:space="preserve"> </w:t>
      </w:r>
      <w:r w:rsidR="006D6387" w:rsidRPr="006D6387">
        <w:rPr>
          <w:rFonts w:eastAsia="Calibri"/>
          <w:i/>
        </w:rPr>
        <w:t xml:space="preserve">after excluding the </w:t>
      </w:r>
      <w:r w:rsidR="009177DA">
        <w:rPr>
          <w:rFonts w:eastAsia="Calibri"/>
          <w:i/>
        </w:rPr>
        <w:t>tainted</w:t>
      </w:r>
      <w:r w:rsidR="006D6387" w:rsidRPr="006D6387">
        <w:rPr>
          <w:rFonts w:eastAsia="Calibri"/>
          <w:i/>
        </w:rPr>
        <w:t xml:space="preserve"> evidence</w:t>
      </w:r>
      <w:r w:rsidR="006D6387" w:rsidRPr="006D6387">
        <w:rPr>
          <w:rFonts w:eastAsia="Calibri"/>
        </w:rPr>
        <w:t xml:space="preserve">.  </w:t>
      </w:r>
      <w:r w:rsidR="003F61C8">
        <w:rPr>
          <w:rFonts w:eastAsia="Calibri"/>
        </w:rPr>
        <w:t xml:space="preserve">In addition to evidence from these indicted individuals, tainted evidence includes evidence from discredited medical sources </w:t>
      </w:r>
      <w:r w:rsidR="003F61C8">
        <w:t>Dr. Edward Sodaro and Dr. Raymond Pierre-Paul, any</w:t>
      </w:r>
      <w:r w:rsidR="00582EC9">
        <w:t xml:space="preserve"> beneficiary</w:t>
      </w:r>
      <w:r w:rsidR="003F61C8">
        <w:t xml:space="preserve"> allegations regarding a mental impairment diagnosed by an indicted or discredited doctor, and </w:t>
      </w:r>
      <w:r w:rsidR="009177DA">
        <w:t xml:space="preserve">other medical </w:t>
      </w:r>
      <w:r w:rsidR="003F61C8">
        <w:t xml:space="preserve">evidence based in whole or in part on the </w:t>
      </w:r>
      <w:r w:rsidR="00B05826">
        <w:t>allegations</w:t>
      </w:r>
      <w:r w:rsidR="003F61C8">
        <w:t xml:space="preserve"> of a mental impairment alleged in the </w:t>
      </w:r>
      <w:r w:rsidR="00B05826">
        <w:t xml:space="preserve">original </w:t>
      </w:r>
      <w:r w:rsidR="003F61C8">
        <w:t xml:space="preserve">application for disability benefits.  </w:t>
      </w:r>
      <w:r w:rsidR="00C06B35">
        <w:rPr>
          <w:rFonts w:eastAsia="Calibri"/>
        </w:rPr>
        <w:t>If the</w:t>
      </w:r>
      <w:r w:rsidR="00E2141F">
        <w:rPr>
          <w:rFonts w:eastAsia="Calibri"/>
        </w:rPr>
        <w:t xml:space="preserve"> </w:t>
      </w:r>
      <w:r w:rsidR="00582EC9">
        <w:rPr>
          <w:rFonts w:eastAsia="Calibri"/>
        </w:rPr>
        <w:t xml:space="preserve">Administrative Law Judge’s original </w:t>
      </w:r>
      <w:r w:rsidR="00C06B35">
        <w:rPr>
          <w:rFonts w:eastAsia="Calibri"/>
        </w:rPr>
        <w:t xml:space="preserve">decision is not supported, </w:t>
      </w:r>
      <w:r w:rsidR="009177DA">
        <w:rPr>
          <w:rFonts w:eastAsia="Calibri"/>
        </w:rPr>
        <w:t>we will issue a new decision</w:t>
      </w:r>
      <w:r w:rsidR="00C06B35">
        <w:rPr>
          <w:rFonts w:eastAsia="Calibri"/>
        </w:rPr>
        <w:t>.</w:t>
      </w:r>
      <w:r w:rsidR="006D6387">
        <w:rPr>
          <w:rFonts w:eastAsia="Calibri"/>
        </w:rPr>
        <w:t xml:space="preserve">  </w:t>
      </w:r>
      <w:r w:rsidR="006D6387" w:rsidRPr="006D6387">
        <w:rPr>
          <w:bCs/>
        </w:rPr>
        <w:t xml:space="preserve"> </w:t>
      </w:r>
    </w:p>
    <w:p w:rsidR="005847E0" w:rsidRPr="006D6387" w:rsidRDefault="005847E0" w:rsidP="005847E0">
      <w:pPr>
        <w:pStyle w:val="StyleBoldUnderlineCentered"/>
        <w:rPr>
          <w:b w:val="0"/>
          <w:u w:val="none"/>
        </w:rPr>
      </w:pPr>
    </w:p>
    <w:p w:rsidR="006D6387" w:rsidRDefault="006D6387" w:rsidP="006D6387">
      <w:pPr>
        <w:pStyle w:val="StyleBoldUnderlineCentered"/>
        <w:keepNext/>
      </w:pPr>
      <w:r>
        <w:t>FINDINGS OF FACT AND CONCLUSIONS OF LAW</w:t>
      </w:r>
    </w:p>
    <w:p w:rsidR="006D6387" w:rsidRDefault="006D6387" w:rsidP="006D6387"/>
    <w:p w:rsidR="006D6387" w:rsidRDefault="006D6387" w:rsidP="006D6387">
      <w:r>
        <w:t>After careful consideration of the entire record, the undersigned makes the following findings:</w:t>
      </w:r>
    </w:p>
    <w:p w:rsidR="00E07EDB" w:rsidRDefault="00E07EDB" w:rsidP="00B16097"/>
    <w:p w:rsidR="006D6387" w:rsidRPr="005C5320" w:rsidRDefault="006D6387" w:rsidP="005C5320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C5320">
        <w:rPr>
          <w:b/>
        </w:rPr>
        <w:t xml:space="preserve"> </w:t>
      </w:r>
      <w:r w:rsidR="005C5320" w:rsidRPr="005C5320">
        <w:rPr>
          <w:b/>
        </w:rPr>
        <w:t>The case contains evidence from [</w:t>
      </w:r>
      <w:r w:rsidR="005C5320" w:rsidRPr="00E21AD2">
        <w:rPr>
          <w:b/>
          <w:highlight w:val="yellow"/>
        </w:rPr>
        <w:t>SOURCES</w:t>
      </w:r>
      <w:r w:rsidR="005C5320" w:rsidRPr="005C5320">
        <w:rPr>
          <w:b/>
        </w:rPr>
        <w:t>], which must be disregarded pursuant to section</w:t>
      </w:r>
      <w:r w:rsidR="00E658E2" w:rsidRPr="00E658E2">
        <w:rPr>
          <w:b/>
          <w:highlight w:val="yellow"/>
        </w:rPr>
        <w:t>[</w:t>
      </w:r>
      <w:r w:rsidR="005C5320" w:rsidRPr="00E658E2">
        <w:rPr>
          <w:b/>
          <w:highlight w:val="yellow"/>
        </w:rPr>
        <w:t>s</w:t>
      </w:r>
      <w:r w:rsidR="00E658E2" w:rsidRPr="00E658E2">
        <w:rPr>
          <w:b/>
          <w:highlight w:val="yellow"/>
        </w:rPr>
        <w:t>]</w:t>
      </w:r>
      <w:r w:rsidR="005C5320" w:rsidRPr="005C5320">
        <w:rPr>
          <w:b/>
        </w:rPr>
        <w:t xml:space="preserve"> 205(u) </w:t>
      </w:r>
      <w:r w:rsidR="00E658E2" w:rsidRPr="00E658E2">
        <w:rPr>
          <w:b/>
          <w:highlight w:val="yellow"/>
        </w:rPr>
        <w:t>[</w:t>
      </w:r>
      <w:r w:rsidR="005C5320" w:rsidRPr="00E658E2">
        <w:rPr>
          <w:b/>
          <w:highlight w:val="yellow"/>
        </w:rPr>
        <w:t>and 1631(e)(7)</w:t>
      </w:r>
      <w:r w:rsidR="00E658E2" w:rsidRPr="00E658E2">
        <w:rPr>
          <w:b/>
          <w:highlight w:val="yellow"/>
        </w:rPr>
        <w:t>]</w:t>
      </w:r>
      <w:r w:rsidR="005C5320" w:rsidRPr="005C5320">
        <w:rPr>
          <w:b/>
        </w:rPr>
        <w:t xml:space="preserve"> of the Social Security Act.</w:t>
      </w:r>
      <w:r w:rsidR="00A8340D">
        <w:rPr>
          <w:b/>
        </w:rPr>
        <w:t xml:space="preserve">  </w:t>
      </w:r>
    </w:p>
    <w:p w:rsidR="005C5320" w:rsidRDefault="005C5320" w:rsidP="005C5320"/>
    <w:p w:rsidR="005C5320" w:rsidRDefault="005C5320" w:rsidP="005C5320">
      <w:r w:rsidRPr="00E21AD2">
        <w:rPr>
          <w:highlight w:val="yellow"/>
        </w:rPr>
        <w:t>[LIST SOURCES AND EXHIBIT NUMBERS</w:t>
      </w:r>
      <w:r w:rsidR="003F61C8">
        <w:rPr>
          <w:highlight w:val="yellow"/>
        </w:rPr>
        <w:t xml:space="preserve">. </w:t>
      </w:r>
      <w:r w:rsidR="009177DA">
        <w:rPr>
          <w:highlight w:val="yellow"/>
        </w:rPr>
        <w:t xml:space="preserve"> </w:t>
      </w:r>
      <w:r w:rsidR="003F61C8" w:rsidRPr="009177DA">
        <w:rPr>
          <w:highlight w:val="yellow"/>
        </w:rPr>
        <w:t xml:space="preserve">ALSO EXPLAIN IF DISREGARDING </w:t>
      </w:r>
      <w:r w:rsidR="009177DA">
        <w:rPr>
          <w:highlight w:val="yellow"/>
        </w:rPr>
        <w:t xml:space="preserve">BENEFICIARY </w:t>
      </w:r>
      <w:r w:rsidR="00D3591D">
        <w:rPr>
          <w:highlight w:val="yellow"/>
        </w:rPr>
        <w:t xml:space="preserve">ALLEGATIONS OF A MENTAL IMPAIRMENT DIAGNOSED BY A TAINTED SOURCE OR </w:t>
      </w:r>
      <w:r w:rsidR="009177DA">
        <w:rPr>
          <w:highlight w:val="yellow"/>
        </w:rPr>
        <w:t xml:space="preserve">OTHER MEDICAL </w:t>
      </w:r>
      <w:r w:rsidR="003F61C8" w:rsidRPr="009177DA">
        <w:rPr>
          <w:highlight w:val="yellow"/>
        </w:rPr>
        <w:t xml:space="preserve">EVIDENCE </w:t>
      </w:r>
      <w:r w:rsidR="00D3591D">
        <w:rPr>
          <w:highlight w:val="yellow"/>
        </w:rPr>
        <w:t xml:space="preserve">BASED IN WHOLE OR IN PART ON THE </w:t>
      </w:r>
      <w:r w:rsidR="009177DA">
        <w:rPr>
          <w:highlight w:val="yellow"/>
        </w:rPr>
        <w:t xml:space="preserve">BENEFICIARY’S </w:t>
      </w:r>
      <w:r w:rsidR="00D3591D">
        <w:rPr>
          <w:highlight w:val="yellow"/>
        </w:rPr>
        <w:t xml:space="preserve">SUBJECTIVE COMPLAINTS </w:t>
      </w:r>
      <w:r w:rsidR="00014AE7">
        <w:rPr>
          <w:highlight w:val="yellow"/>
        </w:rPr>
        <w:t xml:space="preserve">RELATED TO </w:t>
      </w:r>
      <w:r w:rsidR="00D3591D">
        <w:rPr>
          <w:highlight w:val="yellow"/>
        </w:rPr>
        <w:t xml:space="preserve">A </w:t>
      </w:r>
      <w:r w:rsidR="003F61C8" w:rsidRPr="009177DA">
        <w:rPr>
          <w:highlight w:val="yellow"/>
        </w:rPr>
        <w:t>MENTAL IMPAIRMENT</w:t>
      </w:r>
      <w:r w:rsidR="00D3591D">
        <w:rPr>
          <w:highlight w:val="yellow"/>
        </w:rPr>
        <w:t xml:space="preserve"> ALLEGED IN THE APPLICATION.</w:t>
      </w:r>
      <w:r w:rsidRPr="00E21AD2">
        <w:rPr>
          <w:highlight w:val="yellow"/>
        </w:rPr>
        <w:t>]</w:t>
      </w:r>
    </w:p>
    <w:p w:rsidR="005C5320" w:rsidRDefault="005C5320" w:rsidP="005C5320"/>
    <w:p w:rsidR="005C5320" w:rsidRPr="005C5320" w:rsidRDefault="005C5320" w:rsidP="005C5320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C5320">
        <w:rPr>
          <w:b/>
        </w:rPr>
        <w:t>The prior Administrative Law Judge decision found that the claimant was disabled due to [REASON].</w:t>
      </w:r>
    </w:p>
    <w:p w:rsidR="005C5320" w:rsidRDefault="005C5320" w:rsidP="005C5320">
      <w:pPr>
        <w:pStyle w:val="ListParagraph"/>
        <w:ind w:left="0"/>
      </w:pPr>
    </w:p>
    <w:p w:rsidR="005C5320" w:rsidRDefault="005C5320" w:rsidP="005C5320">
      <w:pPr>
        <w:pStyle w:val="ListParagraph"/>
        <w:ind w:left="0"/>
      </w:pPr>
      <w:r w:rsidRPr="00E21AD2">
        <w:rPr>
          <w:highlight w:val="yellow"/>
        </w:rPr>
        <w:t>[EXPLAIN DISABLING RFC OR FINDING OF MET/EQUALS LISTING]</w:t>
      </w:r>
    </w:p>
    <w:p w:rsidR="005C5320" w:rsidRDefault="005C5320" w:rsidP="005C5320">
      <w:pPr>
        <w:pStyle w:val="ListParagraph"/>
        <w:ind w:left="0"/>
      </w:pPr>
    </w:p>
    <w:p w:rsidR="005C5320" w:rsidRDefault="005C5320" w:rsidP="005C5320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C5320">
        <w:rPr>
          <w:b/>
        </w:rPr>
        <w:t>After excluding the tainted evidence, the undersigned finds that the decision is not supported</w:t>
      </w:r>
      <w:r w:rsidR="009177DA">
        <w:rPr>
          <w:b/>
        </w:rPr>
        <w:t>.</w:t>
      </w:r>
    </w:p>
    <w:p w:rsidR="005C5320" w:rsidRDefault="005C5320" w:rsidP="005C5320"/>
    <w:p w:rsidR="005C5320" w:rsidRDefault="005C5320" w:rsidP="005C5320">
      <w:r w:rsidRPr="00E21AD2">
        <w:rPr>
          <w:highlight w:val="yellow"/>
        </w:rPr>
        <w:t>[GIVE FULL EXPLANATION OF EVIDENCE THAT WAS RELIED UPON BY PRIOR ALJ AND WHY THE REMAINING NON-TAINTED EVIDENCE DOES NOT SUPPORT THE PRIOR DECISION]</w:t>
      </w:r>
    </w:p>
    <w:p w:rsidR="00E21AD2" w:rsidRDefault="00E21AD2" w:rsidP="005C5320"/>
    <w:p w:rsidR="005C5320" w:rsidRPr="005C5320" w:rsidRDefault="005C5320" w:rsidP="005C5320">
      <w:pPr>
        <w:pStyle w:val="ListParagraph"/>
        <w:numPr>
          <w:ilvl w:val="0"/>
          <w:numId w:val="2"/>
        </w:numPr>
        <w:ind w:left="0" w:firstLine="0"/>
        <w:rPr>
          <w:b/>
        </w:rPr>
      </w:pPr>
      <w:r w:rsidRPr="005C5320">
        <w:rPr>
          <w:rFonts w:eastAsia="Calibri"/>
          <w:b/>
        </w:rPr>
        <w:t xml:space="preserve">Because the decision is not supported after removal of the tainted evidence, </w:t>
      </w:r>
      <w:r w:rsidR="00693181">
        <w:rPr>
          <w:rFonts w:eastAsia="Calibri"/>
          <w:b/>
        </w:rPr>
        <w:t>a new decision must be issued</w:t>
      </w:r>
      <w:r w:rsidRPr="005C5320">
        <w:rPr>
          <w:rFonts w:eastAsia="Calibri"/>
          <w:b/>
        </w:rPr>
        <w:t xml:space="preserve">. </w:t>
      </w:r>
    </w:p>
    <w:p w:rsidR="005C5320" w:rsidRPr="005C5320" w:rsidRDefault="005C5320" w:rsidP="005C5320">
      <w:pPr>
        <w:rPr>
          <w:b/>
        </w:rPr>
      </w:pPr>
    </w:p>
    <w:p w:rsidR="00E07EDB" w:rsidRPr="007E3831" w:rsidRDefault="00E07EDB" w:rsidP="00B16097"/>
    <w:p w:rsidR="00E07EDB" w:rsidRPr="007E3831" w:rsidRDefault="00E07EDB" w:rsidP="00B16097">
      <w:pPr>
        <w:keepNext/>
        <w:keepLines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78"/>
        <w:gridCol w:w="4770"/>
      </w:tblGrid>
      <w:tr w:rsidR="007E3831" w:rsidRPr="007E3831">
        <w:tc>
          <w:tcPr>
            <w:tcW w:w="4878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  <w:tc>
          <w:tcPr>
            <w:tcW w:w="4770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  <w:bookmarkStart w:id="2" w:name="ALJSignDec"/>
            <w:bookmarkEnd w:id="2"/>
          </w:p>
        </w:tc>
      </w:tr>
      <w:tr w:rsidR="007E3831" w:rsidRPr="007E3831">
        <w:tc>
          <w:tcPr>
            <w:tcW w:w="4878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07EDB" w:rsidRPr="007E3831" w:rsidRDefault="002B6CBE" w:rsidP="00B16097">
            <w:pPr>
              <w:keepNext/>
              <w:keepLines/>
              <w:rPr>
                <w:rFonts w:eastAsia="Calibri"/>
                <w:szCs w:val="22"/>
              </w:rPr>
            </w:pPr>
            <w:r w:rsidRPr="007E3831">
              <w:rPr>
                <w:rFonts w:eastAsia="Calibri"/>
                <w:szCs w:val="22"/>
              </w:rPr>
              <w:t>Administrative Law Judge</w:t>
            </w:r>
          </w:p>
        </w:tc>
      </w:tr>
      <w:tr w:rsidR="007E3831" w:rsidRPr="007E3831">
        <w:tc>
          <w:tcPr>
            <w:tcW w:w="4878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  <w:tc>
          <w:tcPr>
            <w:tcW w:w="4770" w:type="dxa"/>
          </w:tcPr>
          <w:p w:rsidR="00E07EDB" w:rsidRPr="007E3831" w:rsidRDefault="00E07EDB" w:rsidP="00B16097">
            <w:pPr>
              <w:keepNext/>
              <w:keepLines/>
              <w:tabs>
                <w:tab w:val="left" w:pos="245"/>
                <w:tab w:val="left" w:pos="1685"/>
              </w:tabs>
              <w:rPr>
                <w:rFonts w:eastAsia="Calibri"/>
                <w:szCs w:val="22"/>
              </w:rPr>
            </w:pPr>
          </w:p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</w:tr>
      <w:tr w:rsidR="007E3831" w:rsidRPr="007E3831">
        <w:tc>
          <w:tcPr>
            <w:tcW w:w="4878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  <w:tc>
          <w:tcPr>
            <w:tcW w:w="4770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  <w:bookmarkStart w:id="3" w:name="ALJSignDateDec"/>
            <w:r w:rsidRPr="007E3831">
              <w:rPr>
                <w:rFonts w:eastAsia="Calibri"/>
                <w:szCs w:val="22"/>
              </w:rPr>
              <w:t xml:space="preserve"> </w:t>
            </w:r>
            <w:bookmarkEnd w:id="3"/>
          </w:p>
        </w:tc>
      </w:tr>
      <w:tr w:rsidR="00E07EDB" w:rsidRPr="007E3831">
        <w:tc>
          <w:tcPr>
            <w:tcW w:w="4878" w:type="dxa"/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07EDB" w:rsidRPr="007E3831" w:rsidRDefault="00E07EDB" w:rsidP="00B16097">
            <w:pPr>
              <w:keepNext/>
              <w:keepLines/>
              <w:rPr>
                <w:rFonts w:eastAsia="Calibri"/>
                <w:szCs w:val="22"/>
              </w:rPr>
            </w:pPr>
            <w:r w:rsidRPr="007E3831">
              <w:rPr>
                <w:rFonts w:eastAsia="Calibri"/>
                <w:szCs w:val="22"/>
              </w:rPr>
              <w:t>Date</w:t>
            </w:r>
          </w:p>
        </w:tc>
      </w:tr>
    </w:tbl>
    <w:p w:rsidR="00654CFC" w:rsidRPr="007E3831" w:rsidRDefault="00654CFC"/>
    <w:sectPr w:rsidR="00654CFC" w:rsidRPr="007E3831" w:rsidSect="00E07ED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30" w:rsidRDefault="00051730">
      <w:r>
        <w:separator/>
      </w:r>
    </w:p>
  </w:endnote>
  <w:endnote w:type="continuationSeparator" w:id="0">
    <w:p w:rsidR="00051730" w:rsidRDefault="0005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Pr="00E07EDB" w:rsidRDefault="00E07EDB" w:rsidP="00E07EDB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instrText>2</w:instrText>
    </w:r>
    <w:r>
      <w:fldChar w:fldCharType="end"/>
    </w:r>
    <w:r>
      <w:instrText xml:space="preserve"> &lt;&gt; </w:instrText>
    </w:r>
    <w:fldSimple w:instr=" SECTIONPAGES ">
      <w:r w:rsidR="00873769">
        <w:rPr>
          <w:noProof/>
        </w:rPr>
        <w:instrText>2</w:instrText>
      </w:r>
    </w:fldSimple>
    <w:r>
      <w:instrText xml:space="preserve"> "See Next Page"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Pr="00E07EDB" w:rsidRDefault="00E07EDB" w:rsidP="00E07EDB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instrText>1</w:instrText>
    </w:r>
    <w:r>
      <w:fldChar w:fldCharType="end"/>
    </w:r>
    <w:r>
      <w:instrText xml:space="preserve"> &lt;&gt; </w:instrText>
    </w:r>
    <w:fldSimple w:instr=" SECTIONPAGES ">
      <w:r w:rsidR="00873769">
        <w:rPr>
          <w:noProof/>
        </w:rPr>
        <w:instrText>2</w:instrText>
      </w:r>
    </w:fldSimple>
    <w:r>
      <w:instrText xml:space="preserve"> "See Next Page" </w:instrText>
    </w:r>
    <w:r w:rsidR="00873769">
      <w:fldChar w:fldCharType="separate"/>
    </w:r>
    <w:r w:rsidR="00873769">
      <w:rPr>
        <w:noProof/>
      </w:rPr>
      <w:t>See Next Page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Pr="00E07EDB" w:rsidRDefault="00E07EDB" w:rsidP="00E07EDB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instrText>2</w:instrText>
    </w:r>
    <w:r>
      <w:fldChar w:fldCharType="end"/>
    </w:r>
    <w:r>
      <w:instrText xml:space="preserve"> &lt;&gt; </w:instrText>
    </w:r>
    <w:fldSimple w:instr=" SECTIONPAGES ">
      <w:r w:rsidR="00873769">
        <w:rPr>
          <w:noProof/>
        </w:rPr>
        <w:instrText>2</w:instrText>
      </w:r>
    </w:fldSimple>
    <w:r>
      <w:instrText xml:space="preserve"> "See Next Page" </w:instrTex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Pr="00E07EDB" w:rsidRDefault="00E07EDB" w:rsidP="00E07EDB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instrText>1</w:instrText>
    </w:r>
    <w:r>
      <w:fldChar w:fldCharType="end"/>
    </w:r>
    <w:r>
      <w:instrText xml:space="preserve"> &lt;&gt; </w:instrText>
    </w:r>
    <w:fldSimple w:instr=" SECTIONPAGES ">
      <w:r w:rsidR="00873769">
        <w:rPr>
          <w:noProof/>
        </w:rPr>
        <w:instrText>2</w:instrText>
      </w:r>
    </w:fldSimple>
    <w:r>
      <w:instrText xml:space="preserve"> "See Next Page" </w:instrText>
    </w:r>
    <w:r w:rsidR="00873769">
      <w:fldChar w:fldCharType="separate"/>
    </w:r>
    <w:r w:rsidR="00873769">
      <w:rPr>
        <w:noProof/>
      </w:rPr>
      <w:t>See Next Page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30" w:rsidRDefault="00051730">
      <w:r>
        <w:separator/>
      </w:r>
    </w:p>
  </w:footnote>
  <w:footnote w:type="continuationSeparator" w:id="0">
    <w:p w:rsidR="00051730" w:rsidRDefault="0005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Default="00E07EDB" w:rsidP="00E07EDB">
    <w:pPr>
      <w:pStyle w:val="Header"/>
      <w:tabs>
        <w:tab w:val="clear" w:pos="4320"/>
      </w:tabs>
    </w:pPr>
    <w:r>
      <w:t>1 1 (111-11-1111)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t>2</w:t>
    </w:r>
    <w:r>
      <w:fldChar w:fldCharType="end"/>
    </w:r>
    <w:r>
      <w:t xml:space="preserve"> of </w:t>
    </w:r>
    <w:fldSimple w:instr=" SECTIONPAGES ">
      <w:r w:rsidR="00873769">
        <w:rPr>
          <w:noProof/>
        </w:rPr>
        <w:t>2</w:t>
      </w:r>
    </w:fldSimple>
  </w:p>
  <w:p w:rsidR="00E07EDB" w:rsidRPr="00E07EDB" w:rsidRDefault="00E07EDB" w:rsidP="00E07EDB">
    <w:pPr>
      <w:pStyle w:val="Header"/>
      <w:tabs>
        <w:tab w:val="clear" w:pos="43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Default="00E07EDB" w:rsidP="00E07EDB">
    <w:pPr>
      <w:pStyle w:val="Header"/>
      <w:tabs>
        <w:tab w:val="clear" w:pos="4320"/>
      </w:tabs>
    </w:pPr>
    <w:r>
      <w:t>1 1 (111-11-1111)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3769">
      <w:rPr>
        <w:noProof/>
      </w:rPr>
      <w:t>2</w:t>
    </w:r>
    <w:r>
      <w:fldChar w:fldCharType="end"/>
    </w:r>
    <w:r>
      <w:t xml:space="preserve"> of </w:t>
    </w:r>
    <w:fldSimple w:instr=" SECTIONPAGES ">
      <w:r w:rsidR="00873769">
        <w:rPr>
          <w:noProof/>
        </w:rPr>
        <w:t>2</w:t>
      </w:r>
    </w:fldSimple>
  </w:p>
  <w:p w:rsidR="00E07EDB" w:rsidRPr="00E07EDB" w:rsidRDefault="00E07EDB" w:rsidP="00E07EDB">
    <w:pPr>
      <w:pStyle w:val="Header"/>
      <w:tabs>
        <w:tab w:val="clear" w:pos="4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DB" w:rsidRPr="00E07EDB" w:rsidRDefault="00E07EDB" w:rsidP="00E0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E52"/>
    <w:multiLevelType w:val="hybridMultilevel"/>
    <w:tmpl w:val="BD46D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14E0"/>
    <w:multiLevelType w:val="hybridMultilevel"/>
    <w:tmpl w:val="2B3C0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4533ED"/>
    <w:multiLevelType w:val="hybridMultilevel"/>
    <w:tmpl w:val="E58A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405Case" w:val="False"/>
    <w:docVar w:name="AD1T16No" w:val="False"/>
    <w:docVar w:name="AD1T16Yes" w:val="False"/>
    <w:docVar w:name="AD1T2No" w:val="False"/>
    <w:docVar w:name="AD1T2Yes" w:val="False"/>
    <w:docVar w:name="AD2T16No" w:val="False"/>
    <w:docVar w:name="AD2T16Yes" w:val="False"/>
    <w:docVar w:name="AD2T2No" w:val="False"/>
    <w:docVar w:name="AD2T2Yes" w:val="False"/>
    <w:docVar w:name="AD3T16No" w:val="False"/>
    <w:docVar w:name="AD3T16Yes" w:val="False"/>
    <w:docVar w:name="AD3T2No" w:val="False"/>
    <w:docVar w:name="AD3T2Yes" w:val="False"/>
    <w:docVar w:name="AdjudicatorFullName" w:val="1"/>
    <w:docVar w:name="ADNewEvidCE" w:val="False"/>
    <w:docVar w:name="ADNewEvidExist" w:val="False"/>
    <w:docVar w:name="ADNewEvidME" w:val="False"/>
    <w:docVar w:name="ADNewEvidOtherMed" w:val="False"/>
    <w:docVar w:name="ADNewEvidOtherNonMed" w:val="False"/>
    <w:docVar w:name="ADNewEvidVE" w:val="False"/>
    <w:docVar w:name="ADT16Conflict" w:val="False"/>
    <w:docVar w:name="ADT16DiffConcl" w:val="False"/>
    <w:docVar w:name="ADT16DiffCred" w:val="False"/>
    <w:docVar w:name="ADT16DiffDAA" w:val="False"/>
    <w:docVar w:name="ADT16DiffFuncEq" w:val="False"/>
    <w:docVar w:name="ADT16DiffMeetEq" w:val="False"/>
    <w:docVar w:name="ADT16DiffOpWeight" w:val="False"/>
    <w:docVar w:name="ADT16DiffPRW" w:val="False"/>
    <w:docVar w:name="ADT16DiffRFC" w:val="False"/>
    <w:docVar w:name="ADT16DiffSev" w:val="False"/>
    <w:docVar w:name="ADT16DiffWeight" w:val="False"/>
    <w:docVar w:name="ADT16ImpWorse" w:val="False"/>
    <w:docVar w:name="ADT16Other" w:val="False"/>
    <w:docVar w:name="ADT2Conflict" w:val="False"/>
    <w:docVar w:name="ADT2DiffConcl" w:val="False"/>
    <w:docVar w:name="ADT2DiffCred" w:val="False"/>
    <w:docVar w:name="ADT2DiffDAA" w:val="False"/>
    <w:docVar w:name="ADT2DiffFuncEq" w:val="False"/>
    <w:docVar w:name="ADT2DiffMeetEq" w:val="False"/>
    <w:docVar w:name="ADT2DiffOpWeight" w:val="False"/>
    <w:docVar w:name="ADT2DiffPRW" w:val="False"/>
    <w:docVar w:name="ADT2DiffRFC" w:val="False"/>
    <w:docVar w:name="ADT2DiffSev" w:val="False"/>
    <w:docVar w:name="ADT2DiffWeight" w:val="False"/>
    <w:docVar w:name="ADT2ImpWorse" w:val="False"/>
    <w:docVar w:name="ADT2Other" w:val="False"/>
    <w:docVar w:name="AnotherOfficeProcess" w:val="True"/>
    <w:docVar w:name="Attorney" w:val="True"/>
    <w:docVar w:name="CDB" w:val="False"/>
    <w:docVar w:name="CDBDIB" w:val="False"/>
    <w:docVar w:name="CDBSSDC" w:val="False"/>
    <w:docVar w:name="CDBSSI" w:val="False"/>
    <w:docVar w:name="ChiefALJFirstName" w:val="Frank A."/>
    <w:docVar w:name="ChiefALJFullName" w:val="Frank A. Cristaudo"/>
    <w:docVar w:name="ChiefALJLastName" w:val="Cristaudo"/>
    <w:docVar w:name="ChildSSI" w:val="False"/>
    <w:docVar w:name="ClaimantCompleteAddress" w:val="1"/>
    <w:docVar w:name="ClaimantFemale" w:val="False"/>
    <w:docVar w:name="ClaimantFirstName" w:val="1"/>
    <w:docVar w:name="ClaimantLastName" w:val="1"/>
    <w:docVar w:name="ClaimantMale" w:val="True"/>
    <w:docVar w:name="ClaimantState" w:val=" "/>
    <w:docVar w:name="ClmOther" w:val="False"/>
    <w:docVar w:name="ControlNumber" w:val="111-11-1111"/>
    <w:docVar w:name="CourtRemandNotice" w:val="False"/>
    <w:docVar w:name="CP_CLSec" w:val="23"/>
    <w:docVar w:name="CP_SectionTypeName1" w:val="Cover Sheet"/>
    <w:docVar w:name="CP_SectionTypeName2" w:val="Decisional Notice"/>
    <w:docVar w:name="CP_SectionTypeName3" w:val="Decisional Notice (Spanish)"/>
    <w:docVar w:name="CP_SectionTypeName4" w:val="Fee Agreement"/>
    <w:docVar w:name="CP_SectionTypeName5" w:val="Decisional Order"/>
    <w:docVar w:name="CP_SectionTypeName6" w:val="Exhibit List"/>
    <w:docVar w:name="CP_SectionTypeName7" w:val="Dismissal Notice"/>
    <w:docVar w:name="CP_SectionTypeName8" w:val="Dismissal Notice (Spanish)"/>
    <w:docVar w:name="CP_SectionTypeName9" w:val="Dismissal Order"/>
    <w:docVar w:name="CP_SectionTypeNameA" w:val="Bench Decision Notice"/>
    <w:docVar w:name="CP_SectionTypeNameB" w:val="Checksheet"/>
    <w:docVar w:name="CP_SectionTypeNameC" w:val="Script"/>
    <w:docVar w:name="CP_SectionTypeNameD" w:val="Fee Agreement (Spanish)"/>
    <w:docVar w:name="CP_SectionTypeNameE" w:val="Bench Decision Notice (Spanish)"/>
    <w:docVar w:name="CP_SectionTypeNameF" w:val="Denial Notice"/>
    <w:docVar w:name="CP_SectionTypeNameG" w:val="Denial Notice (Spanish)"/>
    <w:docVar w:name="CP_SectionTypeNameH" w:val="AC Exhibit List"/>
    <w:docVar w:name="CP_SectionTypeNameI" w:val="AC Order"/>
    <w:docVar w:name="CP_SectionTypeNameJ" w:val="Remand Notice"/>
    <w:docVar w:name="CP_SectionTypeNameK" w:val="Remand Notice (Spanish)"/>
    <w:docVar w:name="CP_SectionTypeNameL" w:val="Remand Order"/>
    <w:docVar w:name="CP_SectionTypeNameM" w:val="Reopen Request - Sample 2 Memo"/>
    <w:docVar w:name="CP_SectionTypeNameN" w:val="Reopen Request - Sample 3 Memo"/>
    <w:docVar w:name="CP_SectionTypeNameO" w:val="Complaint of Bias"/>
    <w:docVar w:name="CP_SectionTypeNameP" w:val="Bias Complaint Summary"/>
    <w:docVar w:name="CP_SectionTypeNameQ" w:val="Transmittal"/>
    <w:docVar w:name="CP_SectionTypeNameR" w:val="Claimant Stuffer"/>
    <w:docVar w:name="CP_SectionTypeNameS" w:val="Rep Stuffer"/>
    <w:docVar w:name="CP_SectionTypeNameT" w:val="Attention Rep Statement"/>
    <w:docVar w:name="CP_SectionTypeNameU" w:val="Attention Rep Statement (Spanish)"/>
    <w:docVar w:name="CP_SectionTypeNameV" w:val="SSI Payment Status Request"/>
    <w:docVar w:name="CP_SectionTypes" w:val="125"/>
    <w:docVar w:name="CPES_Status" w:val="DONE"/>
    <w:docVar w:name="DateOfBirth" w:val=" "/>
    <w:docVar w:name="DateOfBirthSp" w:val=" "/>
    <w:docVar w:name="DIB" w:val="True"/>
    <w:docVar w:name="DisabilityDidNotCease" w:val="False"/>
    <w:docVar w:name="Disapproval1" w:val="False"/>
    <w:docVar w:name="Disapproval2" w:val="False"/>
    <w:docVar w:name="Disapproval3" w:val="False"/>
    <w:docVar w:name="Disapproval4" w:val="False"/>
    <w:docVar w:name="Disapproval5" w:val="False"/>
    <w:docVar w:name="Disapproval6" w:val="False"/>
    <w:docVar w:name="Disapproval7" w:val="False"/>
    <w:docVar w:name="Disapproval8" w:val="False"/>
    <w:docVar w:name="Disapproval9" w:val="False"/>
    <w:docVar w:name="Disapproval9Text" w:val=" "/>
    <w:docVar w:name="DocLogID" w:val="140429114844463425"/>
    <w:docVar w:name="DSICase" w:val="False"/>
    <w:docVar w:name="DWB" w:val="False"/>
    <w:docVar w:name="DWBDIB" w:val="False"/>
    <w:docVar w:name="DWBSSDC" w:val="False"/>
    <w:docVar w:name="DWBSSI" w:val="False"/>
    <w:docVar w:name="EOD" w:val=" "/>
    <w:docVar w:name="EODSp" w:val=" "/>
    <w:docVar w:name="EvidAfter5Days" w:val="False"/>
    <w:docVar w:name="EvidAfterHearing" w:val="False"/>
    <w:docVar w:name="EvidALJAdmits" w:val="False"/>
    <w:docVar w:name="EvidALJDeclines" w:val="False"/>
    <w:docVar w:name="EvidBefore5Days" w:val="False"/>
    <w:docVar w:name="EvidHearingRequest" w:val="False"/>
    <w:docVar w:name="EvidHearingSubmit" w:val="False"/>
    <w:docVar w:name="FaxNumber" w:val=" "/>
    <w:docVar w:name="FeeAgmntApproval" w:val="False"/>
    <w:docVar w:name="FeeAgmntDisapproval" w:val="False"/>
    <w:docVar w:name="FeeAgmntNone" w:val="False"/>
    <w:docVar w:name="FF" w:val="True"/>
    <w:docVar w:name="FieldOfficeCompleteAddress" w:val=" "/>
    <w:docVar w:name="FieldOfficeCompleteAddressOneLine" w:val=" "/>
    <w:docVar w:name="FieldOfficePhone1" w:val=" "/>
    <w:docVar w:name="FITARCircuit" w:val=" "/>
    <w:docVar w:name="FITClmTyp" w:val=" "/>
    <w:docVar w:name="HOCompleteAddress" w:val=" "/>
    <w:docVar w:name="IncludeSharpe" w:val="False"/>
    <w:docVar w:name="IssueDate" w:val=" "/>
    <w:docVar w:name="IssueDateSp" w:val=" "/>
    <w:docVar w:name="LocalOfficeAddress1" w:val="Fifteenth Floor"/>
    <w:docVar w:name="LocalOfficeAddress2" w:val="1301 Clay Street, Suite 200N"/>
    <w:docVar w:name="LocalOfficeCAN" w:val="4005032"/>
    <w:docVar w:name="LocalOfficeCity" w:val="Falls Church"/>
    <w:docVar w:name="LocalOfficeCompleteAddress" w:val="Fifteenth Floor_x000d_1301 Clay Street, Suite 200N_x000d_Falls Church, VA 22041"/>
    <w:docVar w:name="LocalOfficeCON" w:val="5032-03-"/>
    <w:docVar w:name="LocalOfficeFAX" w:val="(703) 605-xxxx"/>
    <w:docVar w:name="LocalOfficeName" w:val="Office of Hearings and Appeals"/>
    <w:docVar w:name="LocalOfficePhone" w:val="(703) 605-xxxx"/>
    <w:docVar w:name="LocalOfficeState" w:val="VA"/>
    <w:docVar w:name="LocalOfficeZip" w:val="22041"/>
    <w:docVar w:name="noDGS" w:val="False"/>
    <w:docVar w:name="NoPayback" w:val="False"/>
    <w:docVar w:name="NoticeType" w:val="FF"/>
    <w:docVar w:name="OBOCompleteAddress" w:val=" "/>
    <w:docVar w:name="OBOFullName" w:val=" "/>
    <w:docVar w:name="OtherBoth" w:val="False"/>
    <w:docVar w:name="OtherClaimType" w:val=" "/>
    <w:docVar w:name="OtherTitleII" w:val="False"/>
    <w:docVar w:name="OtherTitleXVI" w:val="False"/>
    <w:docVar w:name="OTR" w:val="False"/>
    <w:docVar w:name="PF" w:val="False"/>
    <w:docVar w:name="RecommendNotice" w:val="False"/>
    <w:docVar w:name="RegionalOfficeAddress1" w:val="P.O. Box 13496, 4th Floor"/>
    <w:docVar w:name="RegionalOfficeAddress2" w:val=" "/>
    <w:docVar w:name="RegionalOfficeCity" w:val="Philadelphia"/>
    <w:docVar w:name="RegionalOfficeCompleteAddress" w:val="P.O. Box 13496, 4th Floor_x000d_Philadelphia, PA 19101"/>
    <w:docVar w:name="RegionalOfficeName" w:val="Philadelphia  Regional Office"/>
    <w:docVar w:name="RegionalOfficePhone" w:val="215/597-4100"/>
    <w:docVar w:name="RegionalOfficeState" w:val="PA"/>
    <w:docVar w:name="RegionalOfficeZip" w:val="19101"/>
    <w:docVar w:name="RegularNotice" w:val="True"/>
    <w:docVar w:name="REP" w:val="False"/>
    <w:docVar w:name="RepCompleteAddress" w:val=" "/>
    <w:docVar w:name="RepFirm" w:val=" "/>
    <w:docVar w:name="RepFirstName" w:val=" "/>
    <w:docVar w:name="RepLastName" w:val=" "/>
    <w:docVar w:name="SelectedClaim" w:val="DIB"/>
    <w:docVar w:name="SentenceFour" w:val="False"/>
    <w:docVar w:name="SentenceSix" w:val="False"/>
    <w:docVar w:name="Sharpe2035" w:val="False"/>
    <w:docVar w:name="Sharpe6070" w:val="False"/>
    <w:docVar w:name="SpanishNotice" w:val="False"/>
    <w:docVar w:name="SrAttorneyCase" w:val="False"/>
    <w:docVar w:name="SrAttorneyNotice" w:val="False"/>
    <w:docVar w:name="SSDC" w:val="False"/>
    <w:docVar w:name="SSI" w:val="False"/>
    <w:docVar w:name="SSN" w:val="111-11-1111"/>
    <w:docVar w:name="TemplateType" w:val=" "/>
    <w:docVar w:name="TITLE" w:val="T2"/>
    <w:docVar w:name="UF" w:val="False"/>
    <w:docVar w:name="WageEarnerFullName" w:val=" "/>
    <w:docVar w:name="XREF" w:val=" "/>
  </w:docVars>
  <w:rsids>
    <w:rsidRoot w:val="00E07EDB"/>
    <w:rsid w:val="000024E6"/>
    <w:rsid w:val="00006CA9"/>
    <w:rsid w:val="00014AE7"/>
    <w:rsid w:val="000152A8"/>
    <w:rsid w:val="00016949"/>
    <w:rsid w:val="0003004A"/>
    <w:rsid w:val="00035DC4"/>
    <w:rsid w:val="00042F20"/>
    <w:rsid w:val="00046612"/>
    <w:rsid w:val="00050D3A"/>
    <w:rsid w:val="0005119B"/>
    <w:rsid w:val="00051730"/>
    <w:rsid w:val="00054406"/>
    <w:rsid w:val="00064B34"/>
    <w:rsid w:val="0007673A"/>
    <w:rsid w:val="00094AD2"/>
    <w:rsid w:val="000A3628"/>
    <w:rsid w:val="000A3764"/>
    <w:rsid w:val="000A5BEA"/>
    <w:rsid w:val="000B01CF"/>
    <w:rsid w:val="000C57AF"/>
    <w:rsid w:val="000D101E"/>
    <w:rsid w:val="000D274E"/>
    <w:rsid w:val="000D280F"/>
    <w:rsid w:val="000D7DF2"/>
    <w:rsid w:val="000E520F"/>
    <w:rsid w:val="000F1576"/>
    <w:rsid w:val="000F51E6"/>
    <w:rsid w:val="00104ED0"/>
    <w:rsid w:val="00111807"/>
    <w:rsid w:val="00111C18"/>
    <w:rsid w:val="0011670E"/>
    <w:rsid w:val="00125ACF"/>
    <w:rsid w:val="0012637D"/>
    <w:rsid w:val="00132810"/>
    <w:rsid w:val="0013538D"/>
    <w:rsid w:val="0014332A"/>
    <w:rsid w:val="00144181"/>
    <w:rsid w:val="00146675"/>
    <w:rsid w:val="00150B75"/>
    <w:rsid w:val="0015481F"/>
    <w:rsid w:val="00161B78"/>
    <w:rsid w:val="00164E0F"/>
    <w:rsid w:val="00165563"/>
    <w:rsid w:val="00180452"/>
    <w:rsid w:val="00197F39"/>
    <w:rsid w:val="001C074F"/>
    <w:rsid w:val="001C16E5"/>
    <w:rsid w:val="001C257A"/>
    <w:rsid w:val="001D6186"/>
    <w:rsid w:val="001F2882"/>
    <w:rsid w:val="001F7EE9"/>
    <w:rsid w:val="00214809"/>
    <w:rsid w:val="0022127C"/>
    <w:rsid w:val="002314CF"/>
    <w:rsid w:val="00231D31"/>
    <w:rsid w:val="002329FC"/>
    <w:rsid w:val="00237E7E"/>
    <w:rsid w:val="002405FC"/>
    <w:rsid w:val="00246110"/>
    <w:rsid w:val="00251D25"/>
    <w:rsid w:val="00254150"/>
    <w:rsid w:val="0026015F"/>
    <w:rsid w:val="00265531"/>
    <w:rsid w:val="00266A7E"/>
    <w:rsid w:val="002710CF"/>
    <w:rsid w:val="00271117"/>
    <w:rsid w:val="002802A7"/>
    <w:rsid w:val="00283628"/>
    <w:rsid w:val="00287909"/>
    <w:rsid w:val="00292153"/>
    <w:rsid w:val="002A0049"/>
    <w:rsid w:val="002A56B6"/>
    <w:rsid w:val="002B3955"/>
    <w:rsid w:val="002B6CBE"/>
    <w:rsid w:val="002C195D"/>
    <w:rsid w:val="002C7DAB"/>
    <w:rsid w:val="002D1113"/>
    <w:rsid w:val="002D174E"/>
    <w:rsid w:val="002D5396"/>
    <w:rsid w:val="002D5C6F"/>
    <w:rsid w:val="002F6321"/>
    <w:rsid w:val="002F6A53"/>
    <w:rsid w:val="00300E88"/>
    <w:rsid w:val="0030103C"/>
    <w:rsid w:val="00305B5E"/>
    <w:rsid w:val="00305E5F"/>
    <w:rsid w:val="00307C69"/>
    <w:rsid w:val="0031089A"/>
    <w:rsid w:val="00322BEB"/>
    <w:rsid w:val="00330CC8"/>
    <w:rsid w:val="0033622C"/>
    <w:rsid w:val="00341AB7"/>
    <w:rsid w:val="00354A07"/>
    <w:rsid w:val="00367E34"/>
    <w:rsid w:val="003702A7"/>
    <w:rsid w:val="00370348"/>
    <w:rsid w:val="00373212"/>
    <w:rsid w:val="003733AC"/>
    <w:rsid w:val="003777D9"/>
    <w:rsid w:val="0038045A"/>
    <w:rsid w:val="00381F9F"/>
    <w:rsid w:val="00385162"/>
    <w:rsid w:val="00385DCC"/>
    <w:rsid w:val="003A20EE"/>
    <w:rsid w:val="003A2B31"/>
    <w:rsid w:val="003A67BA"/>
    <w:rsid w:val="003A6C76"/>
    <w:rsid w:val="003A70E0"/>
    <w:rsid w:val="003B35CF"/>
    <w:rsid w:val="003B77E6"/>
    <w:rsid w:val="003C4C5E"/>
    <w:rsid w:val="003C545C"/>
    <w:rsid w:val="003D1732"/>
    <w:rsid w:val="003E28AE"/>
    <w:rsid w:val="003F1867"/>
    <w:rsid w:val="003F34F1"/>
    <w:rsid w:val="003F61C8"/>
    <w:rsid w:val="003F6A90"/>
    <w:rsid w:val="00405D1B"/>
    <w:rsid w:val="00405EF4"/>
    <w:rsid w:val="00406D7C"/>
    <w:rsid w:val="00416B5B"/>
    <w:rsid w:val="004173F9"/>
    <w:rsid w:val="004221B8"/>
    <w:rsid w:val="004264EF"/>
    <w:rsid w:val="00433FBB"/>
    <w:rsid w:val="00435EB0"/>
    <w:rsid w:val="00440705"/>
    <w:rsid w:val="004429F0"/>
    <w:rsid w:val="00450E99"/>
    <w:rsid w:val="00451957"/>
    <w:rsid w:val="00454303"/>
    <w:rsid w:val="004625B1"/>
    <w:rsid w:val="004655A8"/>
    <w:rsid w:val="00466100"/>
    <w:rsid w:val="00471A66"/>
    <w:rsid w:val="00473FAC"/>
    <w:rsid w:val="0047580E"/>
    <w:rsid w:val="00476AF1"/>
    <w:rsid w:val="004A3910"/>
    <w:rsid w:val="004A5BD2"/>
    <w:rsid w:val="004A78B1"/>
    <w:rsid w:val="004D2090"/>
    <w:rsid w:val="004D2252"/>
    <w:rsid w:val="004D6327"/>
    <w:rsid w:val="004E1AC7"/>
    <w:rsid w:val="004F46DB"/>
    <w:rsid w:val="00507609"/>
    <w:rsid w:val="005109A5"/>
    <w:rsid w:val="00516EFD"/>
    <w:rsid w:val="00527187"/>
    <w:rsid w:val="00537EF6"/>
    <w:rsid w:val="00540823"/>
    <w:rsid w:val="00553323"/>
    <w:rsid w:val="00554DE3"/>
    <w:rsid w:val="0055705C"/>
    <w:rsid w:val="0056305A"/>
    <w:rsid w:val="005652A8"/>
    <w:rsid w:val="00576D76"/>
    <w:rsid w:val="00582EC9"/>
    <w:rsid w:val="00584655"/>
    <w:rsid w:val="005847E0"/>
    <w:rsid w:val="00591F79"/>
    <w:rsid w:val="00595572"/>
    <w:rsid w:val="005A2EB2"/>
    <w:rsid w:val="005A536B"/>
    <w:rsid w:val="005B2DFD"/>
    <w:rsid w:val="005B3972"/>
    <w:rsid w:val="005B3E3D"/>
    <w:rsid w:val="005B43F9"/>
    <w:rsid w:val="005B6800"/>
    <w:rsid w:val="005B6FE4"/>
    <w:rsid w:val="005C172C"/>
    <w:rsid w:val="005C2DAD"/>
    <w:rsid w:val="005C5320"/>
    <w:rsid w:val="005C7EDC"/>
    <w:rsid w:val="005D2328"/>
    <w:rsid w:val="005D2AAF"/>
    <w:rsid w:val="005D5925"/>
    <w:rsid w:val="005E568A"/>
    <w:rsid w:val="005E682B"/>
    <w:rsid w:val="0060123A"/>
    <w:rsid w:val="00615B72"/>
    <w:rsid w:val="006250F9"/>
    <w:rsid w:val="00625793"/>
    <w:rsid w:val="00627483"/>
    <w:rsid w:val="00635B34"/>
    <w:rsid w:val="006401D0"/>
    <w:rsid w:val="00645133"/>
    <w:rsid w:val="00645F10"/>
    <w:rsid w:val="00654CFC"/>
    <w:rsid w:val="006620B7"/>
    <w:rsid w:val="0067230B"/>
    <w:rsid w:val="0067273E"/>
    <w:rsid w:val="00687146"/>
    <w:rsid w:val="00693181"/>
    <w:rsid w:val="00693539"/>
    <w:rsid w:val="006953C0"/>
    <w:rsid w:val="006A2290"/>
    <w:rsid w:val="006B0324"/>
    <w:rsid w:val="006B0EA1"/>
    <w:rsid w:val="006C0442"/>
    <w:rsid w:val="006D30BA"/>
    <w:rsid w:val="006D6387"/>
    <w:rsid w:val="006D6BAF"/>
    <w:rsid w:val="006D6FB3"/>
    <w:rsid w:val="006E0558"/>
    <w:rsid w:val="006E19B7"/>
    <w:rsid w:val="006E40ED"/>
    <w:rsid w:val="006F1F0C"/>
    <w:rsid w:val="006F4DAE"/>
    <w:rsid w:val="006F50AD"/>
    <w:rsid w:val="006F610B"/>
    <w:rsid w:val="00722F03"/>
    <w:rsid w:val="00724A84"/>
    <w:rsid w:val="00731C59"/>
    <w:rsid w:val="00732D23"/>
    <w:rsid w:val="0074198F"/>
    <w:rsid w:val="0075022C"/>
    <w:rsid w:val="007542D3"/>
    <w:rsid w:val="0075525B"/>
    <w:rsid w:val="007607D6"/>
    <w:rsid w:val="00777661"/>
    <w:rsid w:val="007808B6"/>
    <w:rsid w:val="007825FE"/>
    <w:rsid w:val="0078698A"/>
    <w:rsid w:val="007B144A"/>
    <w:rsid w:val="007B35F6"/>
    <w:rsid w:val="007B36D2"/>
    <w:rsid w:val="007C3149"/>
    <w:rsid w:val="007D1B89"/>
    <w:rsid w:val="007D2598"/>
    <w:rsid w:val="007D51B2"/>
    <w:rsid w:val="007D5EBF"/>
    <w:rsid w:val="007D60C9"/>
    <w:rsid w:val="007D6B45"/>
    <w:rsid w:val="007E3831"/>
    <w:rsid w:val="007F1CBD"/>
    <w:rsid w:val="008149DA"/>
    <w:rsid w:val="0082179E"/>
    <w:rsid w:val="00821D37"/>
    <w:rsid w:val="0082449E"/>
    <w:rsid w:val="00830346"/>
    <w:rsid w:val="0083146F"/>
    <w:rsid w:val="00834C1E"/>
    <w:rsid w:val="008415E8"/>
    <w:rsid w:val="008449E7"/>
    <w:rsid w:val="00851D86"/>
    <w:rsid w:val="008522A8"/>
    <w:rsid w:val="00852431"/>
    <w:rsid w:val="008527D3"/>
    <w:rsid w:val="00853ABF"/>
    <w:rsid w:val="00873769"/>
    <w:rsid w:val="0088533E"/>
    <w:rsid w:val="00896961"/>
    <w:rsid w:val="008C3842"/>
    <w:rsid w:val="008C6A39"/>
    <w:rsid w:val="008D05DC"/>
    <w:rsid w:val="008D1C41"/>
    <w:rsid w:val="008D21F0"/>
    <w:rsid w:val="008D3612"/>
    <w:rsid w:val="008E2855"/>
    <w:rsid w:val="008E3A3C"/>
    <w:rsid w:val="008E7C86"/>
    <w:rsid w:val="008F50A9"/>
    <w:rsid w:val="00901989"/>
    <w:rsid w:val="009177DA"/>
    <w:rsid w:val="0092487D"/>
    <w:rsid w:val="00933571"/>
    <w:rsid w:val="009425B4"/>
    <w:rsid w:val="00944CCA"/>
    <w:rsid w:val="00944EBA"/>
    <w:rsid w:val="00950576"/>
    <w:rsid w:val="00982879"/>
    <w:rsid w:val="009831E4"/>
    <w:rsid w:val="009840CC"/>
    <w:rsid w:val="00986394"/>
    <w:rsid w:val="00992607"/>
    <w:rsid w:val="009A4022"/>
    <w:rsid w:val="009B0579"/>
    <w:rsid w:val="009B1327"/>
    <w:rsid w:val="009B56E4"/>
    <w:rsid w:val="009D71D0"/>
    <w:rsid w:val="009F3FF9"/>
    <w:rsid w:val="009F4CCF"/>
    <w:rsid w:val="00A05303"/>
    <w:rsid w:val="00A14C83"/>
    <w:rsid w:val="00A235E7"/>
    <w:rsid w:val="00A2435B"/>
    <w:rsid w:val="00A2459D"/>
    <w:rsid w:val="00A300D7"/>
    <w:rsid w:val="00A35CC3"/>
    <w:rsid w:val="00A36FA3"/>
    <w:rsid w:val="00A46A96"/>
    <w:rsid w:val="00A51FED"/>
    <w:rsid w:val="00A57489"/>
    <w:rsid w:val="00A6147E"/>
    <w:rsid w:val="00A630BC"/>
    <w:rsid w:val="00A75AF7"/>
    <w:rsid w:val="00A833AB"/>
    <w:rsid w:val="00A8340D"/>
    <w:rsid w:val="00A836ED"/>
    <w:rsid w:val="00AA7314"/>
    <w:rsid w:val="00AB0304"/>
    <w:rsid w:val="00AB0511"/>
    <w:rsid w:val="00AB21FD"/>
    <w:rsid w:val="00AB4A83"/>
    <w:rsid w:val="00AB592B"/>
    <w:rsid w:val="00AC70F9"/>
    <w:rsid w:val="00AD321B"/>
    <w:rsid w:val="00AE31DA"/>
    <w:rsid w:val="00AE3FBB"/>
    <w:rsid w:val="00AF0AB5"/>
    <w:rsid w:val="00AF1074"/>
    <w:rsid w:val="00AF1D23"/>
    <w:rsid w:val="00B048D6"/>
    <w:rsid w:val="00B05016"/>
    <w:rsid w:val="00B05795"/>
    <w:rsid w:val="00B05826"/>
    <w:rsid w:val="00B07486"/>
    <w:rsid w:val="00B127E9"/>
    <w:rsid w:val="00B176CF"/>
    <w:rsid w:val="00B23C69"/>
    <w:rsid w:val="00B252AE"/>
    <w:rsid w:val="00B27865"/>
    <w:rsid w:val="00B45C62"/>
    <w:rsid w:val="00B46E27"/>
    <w:rsid w:val="00B56E76"/>
    <w:rsid w:val="00B6016C"/>
    <w:rsid w:val="00B62C88"/>
    <w:rsid w:val="00B64F2A"/>
    <w:rsid w:val="00B76C3D"/>
    <w:rsid w:val="00B865E1"/>
    <w:rsid w:val="00B86654"/>
    <w:rsid w:val="00B96587"/>
    <w:rsid w:val="00BA1417"/>
    <w:rsid w:val="00BB385F"/>
    <w:rsid w:val="00BC26AD"/>
    <w:rsid w:val="00BD3A42"/>
    <w:rsid w:val="00BF2FB7"/>
    <w:rsid w:val="00C032CB"/>
    <w:rsid w:val="00C04104"/>
    <w:rsid w:val="00C06B35"/>
    <w:rsid w:val="00C134A6"/>
    <w:rsid w:val="00C26E5A"/>
    <w:rsid w:val="00C32F05"/>
    <w:rsid w:val="00C36897"/>
    <w:rsid w:val="00C50C04"/>
    <w:rsid w:val="00C5306D"/>
    <w:rsid w:val="00C53E37"/>
    <w:rsid w:val="00C54962"/>
    <w:rsid w:val="00C60AE2"/>
    <w:rsid w:val="00C60F7B"/>
    <w:rsid w:val="00C65014"/>
    <w:rsid w:val="00C72F7A"/>
    <w:rsid w:val="00C74476"/>
    <w:rsid w:val="00C74EAB"/>
    <w:rsid w:val="00C82426"/>
    <w:rsid w:val="00C84530"/>
    <w:rsid w:val="00C8661D"/>
    <w:rsid w:val="00C923CA"/>
    <w:rsid w:val="00C92D35"/>
    <w:rsid w:val="00C95AEC"/>
    <w:rsid w:val="00C96886"/>
    <w:rsid w:val="00CB034D"/>
    <w:rsid w:val="00CB1578"/>
    <w:rsid w:val="00CC21F6"/>
    <w:rsid w:val="00CC28A1"/>
    <w:rsid w:val="00CC59A1"/>
    <w:rsid w:val="00CC5B19"/>
    <w:rsid w:val="00CD2269"/>
    <w:rsid w:val="00CE003F"/>
    <w:rsid w:val="00CE2103"/>
    <w:rsid w:val="00CE4A48"/>
    <w:rsid w:val="00CE4C4F"/>
    <w:rsid w:val="00CF1CFB"/>
    <w:rsid w:val="00CF2F12"/>
    <w:rsid w:val="00CF5F07"/>
    <w:rsid w:val="00CF64D4"/>
    <w:rsid w:val="00D1131B"/>
    <w:rsid w:val="00D16154"/>
    <w:rsid w:val="00D213B9"/>
    <w:rsid w:val="00D25420"/>
    <w:rsid w:val="00D26D9C"/>
    <w:rsid w:val="00D3392E"/>
    <w:rsid w:val="00D33A04"/>
    <w:rsid w:val="00D3591D"/>
    <w:rsid w:val="00D44C16"/>
    <w:rsid w:val="00D46FCB"/>
    <w:rsid w:val="00D647D3"/>
    <w:rsid w:val="00D7036B"/>
    <w:rsid w:val="00D7511D"/>
    <w:rsid w:val="00D86674"/>
    <w:rsid w:val="00D875FD"/>
    <w:rsid w:val="00D931A5"/>
    <w:rsid w:val="00D93FDE"/>
    <w:rsid w:val="00D955EA"/>
    <w:rsid w:val="00D95FA9"/>
    <w:rsid w:val="00DA3F5D"/>
    <w:rsid w:val="00DC1650"/>
    <w:rsid w:val="00DD0191"/>
    <w:rsid w:val="00DE0FCA"/>
    <w:rsid w:val="00DE1E2A"/>
    <w:rsid w:val="00DE51CF"/>
    <w:rsid w:val="00E07EDB"/>
    <w:rsid w:val="00E11854"/>
    <w:rsid w:val="00E14887"/>
    <w:rsid w:val="00E14E66"/>
    <w:rsid w:val="00E21100"/>
    <w:rsid w:val="00E2141F"/>
    <w:rsid w:val="00E21AD2"/>
    <w:rsid w:val="00E327B2"/>
    <w:rsid w:val="00E420EB"/>
    <w:rsid w:val="00E4560F"/>
    <w:rsid w:val="00E55140"/>
    <w:rsid w:val="00E56C47"/>
    <w:rsid w:val="00E62FAE"/>
    <w:rsid w:val="00E64083"/>
    <w:rsid w:val="00E658E2"/>
    <w:rsid w:val="00E679D7"/>
    <w:rsid w:val="00E701E3"/>
    <w:rsid w:val="00E72A97"/>
    <w:rsid w:val="00E9130E"/>
    <w:rsid w:val="00EA0A41"/>
    <w:rsid w:val="00EA2980"/>
    <w:rsid w:val="00EA39C3"/>
    <w:rsid w:val="00EA39D2"/>
    <w:rsid w:val="00EB3863"/>
    <w:rsid w:val="00EB7DA0"/>
    <w:rsid w:val="00EC050A"/>
    <w:rsid w:val="00EC7E3A"/>
    <w:rsid w:val="00ED2F30"/>
    <w:rsid w:val="00ED32E1"/>
    <w:rsid w:val="00ED5D42"/>
    <w:rsid w:val="00EE25F6"/>
    <w:rsid w:val="00EE6A68"/>
    <w:rsid w:val="00EE7859"/>
    <w:rsid w:val="00EE7FE0"/>
    <w:rsid w:val="00EF494B"/>
    <w:rsid w:val="00F12E84"/>
    <w:rsid w:val="00F14250"/>
    <w:rsid w:val="00F23852"/>
    <w:rsid w:val="00F33A36"/>
    <w:rsid w:val="00F3582D"/>
    <w:rsid w:val="00F37A43"/>
    <w:rsid w:val="00F43BBF"/>
    <w:rsid w:val="00F51CC3"/>
    <w:rsid w:val="00F66711"/>
    <w:rsid w:val="00F74F60"/>
    <w:rsid w:val="00F837A5"/>
    <w:rsid w:val="00F924C9"/>
    <w:rsid w:val="00F9294B"/>
    <w:rsid w:val="00F94F6D"/>
    <w:rsid w:val="00FA0CCE"/>
    <w:rsid w:val="00FC2A8D"/>
    <w:rsid w:val="00FC58EE"/>
    <w:rsid w:val="00FD14F8"/>
    <w:rsid w:val="00FE311B"/>
    <w:rsid w:val="00FE437E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8B1147-EB55-49DB-B4BE-E9B98DE4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07ED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panishNotice">
    <w:name w:val="SpanishNotice"/>
    <w:rPr>
      <w:sz w:val="24"/>
      <w:szCs w:val="24"/>
      <w:lang w:eastAsia="zh-CN"/>
    </w:rPr>
  </w:style>
  <w:style w:type="paragraph" w:customStyle="1" w:styleId="Notice">
    <w:name w:val="Notice"/>
    <w:rPr>
      <w:sz w:val="24"/>
      <w:szCs w:val="24"/>
      <w:lang w:eastAsia="zh-CN"/>
    </w:rPr>
  </w:style>
  <w:style w:type="paragraph" w:customStyle="1" w:styleId="Approval">
    <w:name w:val="Approval"/>
    <w:rPr>
      <w:sz w:val="24"/>
      <w:szCs w:val="24"/>
      <w:lang w:eastAsia="zh-CN"/>
    </w:rPr>
  </w:style>
  <w:style w:type="paragraph" w:customStyle="1" w:styleId="DisApproval">
    <w:name w:val="DisApproval"/>
    <w:rPr>
      <w:sz w:val="24"/>
      <w:szCs w:val="24"/>
      <w:lang w:eastAsia="zh-CN"/>
    </w:rPr>
  </w:style>
  <w:style w:type="paragraph" w:customStyle="1" w:styleId="DWBText">
    <w:name w:val="DWBText"/>
    <w:rPr>
      <w:sz w:val="24"/>
      <w:szCs w:val="24"/>
      <w:lang w:eastAsia="zh-CN"/>
    </w:rPr>
  </w:style>
  <w:style w:type="paragraph" w:customStyle="1" w:styleId="DIBDWBText">
    <w:name w:val="DIBDWBText"/>
    <w:rPr>
      <w:sz w:val="24"/>
      <w:szCs w:val="24"/>
      <w:lang w:eastAsia="zh-CN"/>
    </w:rPr>
  </w:style>
  <w:style w:type="paragraph" w:customStyle="1" w:styleId="HearingInformation">
    <w:name w:val="HearingInformation"/>
    <w:rPr>
      <w:sz w:val="24"/>
      <w:szCs w:val="24"/>
      <w:lang w:eastAsia="zh-CN"/>
    </w:rPr>
  </w:style>
  <w:style w:type="paragraph" w:customStyle="1" w:styleId="HearingInformationBoth">
    <w:name w:val="HearingInformationBoth"/>
    <w:rPr>
      <w:sz w:val="24"/>
      <w:szCs w:val="24"/>
      <w:lang w:eastAsia="zh-CN"/>
    </w:rPr>
  </w:style>
  <w:style w:type="paragraph" w:customStyle="1" w:styleId="HearingInformationThree">
    <w:name w:val="HearingInformationThree"/>
    <w:rPr>
      <w:sz w:val="24"/>
      <w:szCs w:val="24"/>
      <w:lang w:eastAsia="zh-CN"/>
    </w:rPr>
  </w:style>
  <w:style w:type="paragraph" w:customStyle="1" w:styleId="Header1">
    <w:name w:val="Header1"/>
    <w:rPr>
      <w:sz w:val="24"/>
      <w:szCs w:val="24"/>
      <w:lang w:eastAsia="zh-CN"/>
    </w:rPr>
  </w:style>
  <w:style w:type="paragraph" w:customStyle="1" w:styleId="PRTF">
    <w:name w:val="PRTF"/>
    <w:basedOn w:val="Normal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Courier New" w:hAnsi="Courier New" w:cs="Courier New"/>
      <w:spacing w:val="-3"/>
    </w:rPr>
  </w:style>
  <w:style w:type="paragraph" w:customStyle="1" w:styleId="Spanish">
    <w:name w:val="Spanish"/>
    <w:basedOn w:val="Normal"/>
    <w:next w:val="Normal"/>
    <w:rPr>
      <w:noProof/>
    </w:rPr>
  </w:style>
  <w:style w:type="paragraph" w:customStyle="1" w:styleId="AVersion">
    <w:name w:val="A Version"/>
    <w:rPr>
      <w:sz w:val="24"/>
      <w:szCs w:val="24"/>
    </w:rPr>
  </w:style>
  <w:style w:type="paragraph" w:styleId="Title">
    <w:name w:val="Title"/>
    <w:basedOn w:val="Normal"/>
    <w:link w:val="TitleChar"/>
    <w:qFormat/>
    <w:rsid w:val="00E07EDB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07EDB"/>
    <w:rPr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rsid w:val="00E07EDB"/>
    <w:rPr>
      <w:rFonts w:ascii="Arial" w:hAnsi="Arial" w:cs="Arial"/>
      <w:b/>
      <w:bCs/>
      <w:i/>
      <w:iCs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E07ED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07EDB"/>
    <w:rPr>
      <w:sz w:val="24"/>
      <w:szCs w:val="24"/>
      <w:lang w:eastAsia="zh-CN"/>
    </w:rPr>
  </w:style>
  <w:style w:type="paragraph" w:customStyle="1" w:styleId="SLSpanishAnotherOffice">
    <w:name w:val="SLSpanishAnotherOffice"/>
    <w:rsid w:val="00E07EDB"/>
    <w:rPr>
      <w:sz w:val="24"/>
      <w:szCs w:val="24"/>
      <w:lang w:eastAsia="zh-CN"/>
    </w:rPr>
  </w:style>
  <w:style w:type="character" w:styleId="Hyperlink">
    <w:name w:val="Hyperlink"/>
    <w:basedOn w:val="DefaultParagraphFont"/>
    <w:rsid w:val="00E07EDB"/>
    <w:rPr>
      <w:color w:val="0000FF" w:themeColor="hyperlink"/>
      <w:u w:val="single"/>
    </w:rPr>
  </w:style>
  <w:style w:type="paragraph" w:customStyle="1" w:styleId="StyleBoldUnderlineCentered">
    <w:name w:val="Style Bold Underline Centered"/>
    <w:basedOn w:val="Normal"/>
    <w:rsid w:val="005847E0"/>
    <w:pPr>
      <w:jc w:val="center"/>
    </w:pPr>
    <w:rPr>
      <w:rFonts w:eastAsia="SimSun"/>
      <w:b/>
      <w:bCs/>
      <w:u w:val="single"/>
      <w:lang w:eastAsia="en-US"/>
    </w:rPr>
  </w:style>
  <w:style w:type="paragraph" w:customStyle="1" w:styleId="Default">
    <w:name w:val="Default"/>
    <w:rsid w:val="005847E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387"/>
    <w:pPr>
      <w:ind w:left="720"/>
      <w:contextualSpacing/>
    </w:pPr>
  </w:style>
  <w:style w:type="character" w:styleId="CommentReference">
    <w:name w:val="annotation reference"/>
    <w:basedOn w:val="DefaultParagraphFont"/>
    <w:rsid w:val="00D86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6674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8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6674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D8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674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9F3FF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\Oha_CPMS_VAL\Templates\Decisions\FIT%20Decisional%20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AEE0D6FC744F8ECE32D0C829E20D" ma:contentTypeVersion="1" ma:contentTypeDescription="Create a new document." ma:contentTypeScope="" ma:versionID="c53c53c63a1d9ac5015d229d98296f71">
  <xsd:schema xmlns:xsd="http://www.w3.org/2001/XMLSchema" xmlns:xs="http://www.w3.org/2001/XMLSchema" xmlns:p="http://schemas.microsoft.com/office/2006/metadata/properties" xmlns:ns3="6b8844f4-777b-459a-9ee0-0ef0e50e9cee" targetNamespace="http://schemas.microsoft.com/office/2006/metadata/properties" ma:root="true" ma:fieldsID="955f927753870af5026cd423d4793346" ns3:_="">
    <xsd:import namespace="6b8844f4-777b-459a-9ee0-0ef0e50e9cee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44f4-777b-459a-9ee0-0ef0e50e9c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844f4-777b-459a-9ee0-0ef0e50e9cee">S2QMMTEFQ2T6-510-8830</_dlc_DocId>
    <_dlc_DocIdUrl xmlns="6b8844f4-777b-459a-9ee0-0ef0e50e9cee">
      <Url>http://sharepoint.ba.ssa.gov/odar/hq/oao/_layouts/DocIdRedir.aspx?ID=S2QMMTEFQ2T6-510-8830</Url>
      <Description>S2QMMTEFQ2T6-510-8830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3607-A89A-434B-A7E9-262D480E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844f4-777b-459a-9ee0-0ef0e50e9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A002F-55BA-4C9F-BC43-D19677C948FF}">
  <ds:schemaRefs>
    <ds:schemaRef ds:uri="http://schemas.microsoft.com/office/2006/metadata/properties"/>
    <ds:schemaRef ds:uri="http://schemas.microsoft.com/office/infopath/2007/PartnerControls"/>
    <ds:schemaRef ds:uri="6b8844f4-777b-459a-9ee0-0ef0e50e9cee"/>
  </ds:schemaRefs>
</ds:datastoreItem>
</file>

<file path=customXml/itemProps3.xml><?xml version="1.0" encoding="utf-8"?>
<ds:datastoreItem xmlns:ds="http://schemas.openxmlformats.org/officeDocument/2006/customXml" ds:itemID="{D776E90F-1F25-413F-B6CA-15FE78A0F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E7055-C45C-4EB0-97CE-FD9B950059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0AC4A6-5401-4EA9-B667-259FB370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 Decisional Shell.dot</Template>
  <TotalTime>0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Edward</dc:creator>
  <cp:lastModifiedBy>Bloom, A. Keith</cp:lastModifiedBy>
  <cp:revision>1</cp:revision>
  <cp:lastPrinted>2014-08-12T16:45:00Z</cp:lastPrinted>
  <dcterms:created xsi:type="dcterms:W3CDTF">2017-11-21T20:35:00Z</dcterms:created>
  <dcterms:modified xsi:type="dcterms:W3CDTF">2017-11-21T20:35:00Z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0x01010098C8AEE0D6FC744F8ECE32D0C829E20D</vt:lpwstr>
  </property>
  <property fmtid="{D5CDD505-2E9C-101B-9397-08002B2CF9AE}" pid="3" name="_dlc_DocIdItemGuid">
    <vt:lpwstr>7b59ce7b-99bc-4fe0-b5ef-4cfb4af9af5b</vt:lpwstr>
  </property>
</Properties>
</file>