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DB" w:rsidRPr="007E3831" w:rsidRDefault="00E07EDB" w:rsidP="00B16097"/>
    <w:p w:rsidR="00E07EDB" w:rsidRPr="007E3831" w:rsidRDefault="00E07EDB" w:rsidP="00B16097">
      <w:pPr>
        <w:framePr w:w="9442" w:h="317" w:wrap="notBeside" w:vAnchor="page" w:hAnchor="page" w:x="1441" w:y="572"/>
        <w:pBdr>
          <w:bottom w:val="single" w:sz="6" w:space="0" w:color="000000"/>
        </w:pBdr>
        <w:rPr>
          <w:b/>
        </w:rPr>
      </w:pPr>
      <w:r w:rsidRPr="007E3831">
        <w:rPr>
          <w:b/>
        </w:rPr>
        <w:t>SOCIAL SECURITY ADMINISTRATION</w:t>
      </w:r>
    </w:p>
    <w:p w:rsidR="00E07EDB" w:rsidRPr="007E3831" w:rsidRDefault="00E07EDB" w:rsidP="00B16097">
      <w:pPr>
        <w:framePr w:w="4502" w:h="1944" w:wrap="notBeside" w:vAnchor="page" w:hAnchor="page" w:x="6382" w:y="1009"/>
      </w:pPr>
      <w:r w:rsidRPr="007E3831">
        <w:t>Office of Disability Adjudication and Review</w:t>
      </w:r>
    </w:p>
    <w:p w:rsidR="00E07EDB" w:rsidRPr="00E21AD2" w:rsidRDefault="00E07EDB" w:rsidP="00B16097">
      <w:pPr>
        <w:framePr w:w="4502" w:h="1944" w:wrap="notBeside" w:vAnchor="page" w:hAnchor="page" w:x="6382" w:y="1009"/>
        <w:rPr>
          <w:highlight w:val="yellow"/>
        </w:rPr>
      </w:pPr>
      <w:r w:rsidRPr="00E21AD2">
        <w:rPr>
          <w:highlight w:val="yellow"/>
        </w:rPr>
        <w:t>Hearing Office Address</w:t>
      </w:r>
    </w:p>
    <w:p w:rsidR="00E07EDB" w:rsidRPr="007E3831" w:rsidRDefault="00E07EDB" w:rsidP="00B16097">
      <w:pPr>
        <w:framePr w:w="4502" w:h="1944" w:wrap="notBeside" w:vAnchor="page" w:hAnchor="page" w:x="6382" w:y="1009"/>
      </w:pPr>
      <w:r w:rsidRPr="00E21AD2">
        <w:rPr>
          <w:highlight w:val="yellow"/>
        </w:rPr>
        <w:t>City, State Zip Cod</w:t>
      </w:r>
      <w:r w:rsidR="001F2882" w:rsidRPr="00E21AD2">
        <w:rPr>
          <w:highlight w:val="yellow"/>
        </w:rPr>
        <w:t>e</w:t>
      </w:r>
    </w:p>
    <w:p w:rsidR="00E07EDB" w:rsidRPr="007E3831" w:rsidRDefault="00E07EDB" w:rsidP="00B16097">
      <w:pPr>
        <w:framePr w:w="4502" w:h="1944" w:wrap="notBeside" w:vAnchor="page" w:hAnchor="page" w:x="6382" w:y="1009"/>
      </w:pPr>
    </w:p>
    <w:p w:rsidR="00E07EDB" w:rsidRPr="007E3831" w:rsidRDefault="00E07EDB" w:rsidP="00B16097">
      <w:pPr>
        <w:framePr w:w="4502" w:h="1944" w:wrap="notBeside" w:vAnchor="page" w:hAnchor="page" w:x="6382" w:y="1009"/>
      </w:pPr>
      <w:r w:rsidRPr="007E3831">
        <w:t>Date</w:t>
      </w:r>
      <w:r w:rsidRPr="00E21AD2">
        <w:rPr>
          <w:highlight w:val="yellow"/>
        </w:rPr>
        <w:t>:</w:t>
      </w:r>
      <w:r w:rsidRPr="007E3831">
        <w:t xml:space="preserve"> </w:t>
      </w:r>
      <w:bookmarkStart w:id="0" w:name="ALJSignDateNotice"/>
      <w:r w:rsidRPr="007E3831">
        <w:rPr>
          <w:snapToGrid w:val="0"/>
        </w:rPr>
        <w:t xml:space="preserve"> </w:t>
      </w:r>
      <w:bookmarkEnd w:id="0"/>
    </w:p>
    <w:p w:rsidR="00E07EDB" w:rsidRPr="007E3831" w:rsidRDefault="00E07EDB" w:rsidP="00B16097">
      <w:pPr>
        <w:framePr w:w="4320" w:h="576" w:wrap="notBeside" w:vAnchor="page" w:hAnchor="page" w:x="1441" w:y="1006"/>
        <w:shd w:val="solid" w:color="FFFFFF" w:fill="FFFFFF"/>
      </w:pPr>
      <w:r w:rsidRPr="007E3831">
        <w:t xml:space="preserve">Refer To: </w:t>
      </w:r>
      <w:r w:rsidRPr="00E21AD2">
        <w:rPr>
          <w:highlight w:val="yellow"/>
        </w:rPr>
        <w:t>SSN</w:t>
      </w:r>
    </w:p>
    <w:p w:rsidR="00E07EDB" w:rsidRPr="00E21AD2" w:rsidRDefault="00E07EDB" w:rsidP="00B16097">
      <w:pPr>
        <w:rPr>
          <w:highlight w:val="yellow"/>
        </w:rPr>
      </w:pPr>
      <w:r w:rsidRPr="00E21AD2">
        <w:rPr>
          <w:highlight w:val="yellow"/>
        </w:rPr>
        <w:t>First Name Last Name</w:t>
      </w:r>
    </w:p>
    <w:p w:rsidR="00E07EDB" w:rsidRPr="00E21AD2" w:rsidRDefault="00E07EDB" w:rsidP="00B16097">
      <w:pPr>
        <w:rPr>
          <w:highlight w:val="yellow"/>
        </w:rPr>
      </w:pPr>
      <w:r w:rsidRPr="00E21AD2">
        <w:rPr>
          <w:highlight w:val="yellow"/>
        </w:rPr>
        <w:t>Address</w:t>
      </w:r>
    </w:p>
    <w:p w:rsidR="00E07EDB" w:rsidRPr="007E3831" w:rsidRDefault="00E07EDB" w:rsidP="00B16097">
      <w:r w:rsidRPr="00E21AD2">
        <w:rPr>
          <w:highlight w:val="yellow"/>
        </w:rPr>
        <w:t>City, ST Zip Code</w:t>
      </w:r>
    </w:p>
    <w:p w:rsidR="00E07EDB" w:rsidRPr="007E3831" w:rsidRDefault="00E07EDB" w:rsidP="00B16097">
      <w:r w:rsidRPr="007E3831">
        <w:rPr>
          <w:b/>
          <w:noProof/>
          <w:lang w:eastAsia="ja-JP"/>
        </w:rPr>
        <w:drawing>
          <wp:anchor distT="0" distB="0" distL="114300" distR="114300" simplePos="0" relativeHeight="251660288" behindDoc="0" locked="0" layoutInCell="0" allowOverlap="1" wp14:anchorId="5D0D53CF" wp14:editId="5D0D53D0">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E07EDB" w:rsidRPr="007E3831" w:rsidRDefault="00E07EDB" w:rsidP="00B16097">
      <w:pPr>
        <w:keepNext/>
        <w:keepLines/>
        <w:tabs>
          <w:tab w:val="left" w:pos="245"/>
          <w:tab w:val="left" w:pos="1685"/>
        </w:tabs>
        <w:rPr>
          <w:sz w:val="28"/>
          <w:szCs w:val="28"/>
        </w:rPr>
      </w:pPr>
      <w:r w:rsidRPr="007E3831">
        <w:rPr>
          <w:b/>
          <w:noProof/>
          <w:lang w:eastAsia="ja-JP"/>
        </w:rPr>
        <w:drawing>
          <wp:anchor distT="0" distB="0" distL="114300" distR="114300" simplePos="0" relativeHeight="251659264" behindDoc="0" locked="0" layoutInCell="0" allowOverlap="1" wp14:anchorId="5D0D53D1" wp14:editId="5D0D53D2">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7E3831" w:rsidRPr="007E3831" w:rsidRDefault="00E07EDB" w:rsidP="007E3831">
      <w:pPr>
        <w:keepNext/>
        <w:keepLines/>
        <w:tabs>
          <w:tab w:val="left" w:pos="245"/>
          <w:tab w:val="left" w:pos="1685"/>
        </w:tabs>
        <w:jc w:val="center"/>
        <w:rPr>
          <w:sz w:val="28"/>
          <w:szCs w:val="28"/>
        </w:rPr>
      </w:pPr>
      <w:r w:rsidRPr="007E3831">
        <w:rPr>
          <w:sz w:val="28"/>
          <w:szCs w:val="28"/>
        </w:rPr>
        <w:t xml:space="preserve">Notice of </w:t>
      </w:r>
      <w:r w:rsidR="007E3831" w:rsidRPr="007E3831">
        <w:rPr>
          <w:sz w:val="28"/>
          <w:szCs w:val="28"/>
        </w:rPr>
        <w:t>Redetermination</w:t>
      </w:r>
    </w:p>
    <w:p w:rsidR="007E3831" w:rsidRPr="007E3831" w:rsidRDefault="007E3831" w:rsidP="007E3831">
      <w:pPr>
        <w:keepNext/>
        <w:keepLines/>
        <w:tabs>
          <w:tab w:val="left" w:pos="245"/>
          <w:tab w:val="left" w:pos="1685"/>
        </w:tabs>
        <w:jc w:val="center"/>
      </w:pPr>
    </w:p>
    <w:p w:rsidR="00E07EDB" w:rsidRPr="007E3831" w:rsidRDefault="00E07EDB" w:rsidP="00B16097">
      <w:pPr>
        <w:widowControl w:val="0"/>
      </w:pPr>
      <w:r w:rsidRPr="007E3831">
        <w:t xml:space="preserve">I carefully reviewed the facts of your case and the prior decision </w:t>
      </w:r>
      <w:r w:rsidR="00B62C88" w:rsidRPr="007E3831">
        <w:t xml:space="preserve">by an Administrative Law Judge </w:t>
      </w:r>
      <w:r w:rsidRPr="007E3831">
        <w:t xml:space="preserve">made on </w:t>
      </w:r>
      <w:r w:rsidRPr="00E21AD2">
        <w:rPr>
          <w:b/>
          <w:highlight w:val="yellow"/>
        </w:rPr>
        <w:t>ENTER DATE</w:t>
      </w:r>
      <w:r w:rsidRPr="007E3831">
        <w:t xml:space="preserve">. </w:t>
      </w:r>
    </w:p>
    <w:p w:rsidR="00E07EDB" w:rsidRPr="007E3831" w:rsidRDefault="00E07EDB" w:rsidP="00B16097">
      <w:pPr>
        <w:widowControl w:val="0"/>
        <w:rPr>
          <w:i/>
        </w:rPr>
      </w:pPr>
    </w:p>
    <w:p w:rsidR="007E3831" w:rsidRPr="007E3831" w:rsidRDefault="007E3831" w:rsidP="00B16097">
      <w:pPr>
        <w:widowControl w:val="0"/>
        <w:rPr>
          <w:b/>
        </w:rPr>
      </w:pPr>
      <w:r>
        <w:rPr>
          <w:b/>
        </w:rPr>
        <w:t>Why I Review</w:t>
      </w:r>
      <w:r w:rsidR="009B56E4">
        <w:rPr>
          <w:b/>
        </w:rPr>
        <w:t>ed</w:t>
      </w:r>
      <w:r>
        <w:rPr>
          <w:b/>
        </w:rPr>
        <w:t xml:space="preserve"> Your Case</w:t>
      </w:r>
    </w:p>
    <w:p w:rsidR="00E07EDB" w:rsidRPr="007E3831" w:rsidRDefault="00E07EDB" w:rsidP="00B16097">
      <w:pPr>
        <w:widowControl w:val="0"/>
      </w:pPr>
      <w:r w:rsidRPr="007E3831">
        <w:t xml:space="preserve"> </w:t>
      </w:r>
    </w:p>
    <w:p w:rsidR="009B56E4" w:rsidRDefault="005552BF" w:rsidP="00E07EDB">
      <w:r>
        <w:t>Under section 205(u) of the Social Security Act</w:t>
      </w:r>
      <w:r w:rsidR="00F258C4">
        <w:t xml:space="preserve"> (Act)</w:t>
      </w:r>
      <w:r>
        <w:t xml:space="preserve">, the Social Security Administration (SSA) must redetermine an individual’s entitlement to benefits and disregard evidence when there is reason to believe fraud or similar fault was involved in that individual’s application for benefits.  </w:t>
      </w:r>
      <w:r w:rsidR="00C82426" w:rsidRPr="00A36FA3">
        <w:t xml:space="preserve">The </w:t>
      </w:r>
      <w:r w:rsidR="003B35CF">
        <w:t>New York County District Attorney’s Office</w:t>
      </w:r>
      <w:r w:rsidR="002F6A53">
        <w:t xml:space="preserve"> </w:t>
      </w:r>
      <w:r w:rsidR="00A63332">
        <w:t xml:space="preserve">(DA) </w:t>
      </w:r>
      <w:r w:rsidR="00C82426" w:rsidRPr="00A36FA3">
        <w:t xml:space="preserve">and the Office of the Inspector General of </w:t>
      </w:r>
      <w:r w:rsidR="009B17C1">
        <w:t>SSA</w:t>
      </w:r>
      <w:r w:rsidR="00C82426" w:rsidRPr="00A36FA3">
        <w:t xml:space="preserve"> conducted an extensive criminal investigation</w:t>
      </w:r>
      <w:r w:rsidR="002314CF">
        <w:t xml:space="preserve"> that </w:t>
      </w:r>
      <w:r w:rsidR="00C82426" w:rsidRPr="00A36FA3">
        <w:t xml:space="preserve">resulted in </w:t>
      </w:r>
      <w:r w:rsidR="009B56E4">
        <w:t>th</w:t>
      </w:r>
      <w:r w:rsidR="00C82426" w:rsidRPr="00A36FA3">
        <w:t xml:space="preserve">e criminal indictment </w:t>
      </w:r>
      <w:r w:rsidR="009B17C1">
        <w:t xml:space="preserve">and </w:t>
      </w:r>
      <w:r w:rsidR="00A63332">
        <w:t xml:space="preserve">conviction of </w:t>
      </w:r>
      <w:r w:rsidR="003B35CF">
        <w:t>Raymond Lavallee, Thomas Hale, Joseph Esposito, and John Minerva</w:t>
      </w:r>
      <w:r w:rsidR="002314CF">
        <w:t xml:space="preserve">.  </w:t>
      </w:r>
      <w:r w:rsidR="00A63332">
        <w:t>Each of these</w:t>
      </w:r>
      <w:r w:rsidR="002314CF">
        <w:t xml:space="preserve"> individuals </w:t>
      </w:r>
      <w:r w:rsidR="009B17C1">
        <w:t>admitted to</w:t>
      </w:r>
      <w:r>
        <w:t xml:space="preserve"> conducting a scheme to</w:t>
      </w:r>
      <w:r w:rsidR="00C82426" w:rsidRPr="00A36FA3">
        <w:t xml:space="preserve"> mak</w:t>
      </w:r>
      <w:r>
        <w:t>e</w:t>
      </w:r>
      <w:r w:rsidR="00C82426" w:rsidRPr="00A36FA3">
        <w:t xml:space="preserve"> false statements </w:t>
      </w:r>
      <w:r>
        <w:t xml:space="preserve">or other representations </w:t>
      </w:r>
      <w:r w:rsidR="00C82426" w:rsidRPr="00A36FA3">
        <w:t xml:space="preserve">to </w:t>
      </w:r>
      <w:r w:rsidR="00C82426">
        <w:t>SSA</w:t>
      </w:r>
      <w:r w:rsidR="00A63332">
        <w:t xml:space="preserve"> in order to obtain </w:t>
      </w:r>
      <w:r>
        <w:t>fraudulent</w:t>
      </w:r>
      <w:r w:rsidR="00A63332">
        <w:t xml:space="preserve"> benefits</w:t>
      </w:r>
      <w:r>
        <w:t xml:space="preserve"> for others</w:t>
      </w:r>
      <w:r w:rsidR="00C82426">
        <w:t>.</w:t>
      </w:r>
      <w:r>
        <w:t xml:space="preserve">  Numerous individuals have also been indicted and convicted in connection with the DA’s investigation.</w:t>
      </w:r>
      <w:r w:rsidR="00C82426">
        <w:t xml:space="preserve"> </w:t>
      </w:r>
      <w:r w:rsidR="009B56E4">
        <w:t xml:space="preserve"> </w:t>
      </w:r>
    </w:p>
    <w:p w:rsidR="009B56E4" w:rsidRDefault="009B56E4" w:rsidP="00E07EDB"/>
    <w:p w:rsidR="002F6A53" w:rsidRDefault="00DE14F1" w:rsidP="00E21AD2">
      <w:r>
        <w:t>In a letter dated February 25, 2014, (Referral Letter), t</w:t>
      </w:r>
      <w:r w:rsidR="00A63332">
        <w:t xml:space="preserve">he DA </w:t>
      </w:r>
      <w:r>
        <w:t xml:space="preserve">explained to SSA the convicted individuals’ fraudulent scheme “to fabricate a psychiatric disability” and obtain unauthorized benefits for numerous individuals.  The DA </w:t>
      </w:r>
      <w:r w:rsidR="00A63332">
        <w:t>referred</w:t>
      </w:r>
      <w:r w:rsidR="005552BF">
        <w:t xml:space="preserve"> your</w:t>
      </w:r>
      <w:r w:rsidR="00A63332">
        <w:t xml:space="preserve"> case to SSA </w:t>
      </w:r>
      <w:r w:rsidR="005552BF">
        <w:t>as one where Mr. Lavallee was your representative and the facts of your case are similar to those involved in the fraudulent scheme</w:t>
      </w:r>
      <w:r w:rsidR="00A63332">
        <w:t xml:space="preserve">.  </w:t>
      </w:r>
      <w:r w:rsidR="00C82426" w:rsidRPr="00A36FA3">
        <w:t>One or more of the</w:t>
      </w:r>
      <w:r w:rsidR="005552BF">
        <w:t xml:space="preserve"> convicted</w:t>
      </w:r>
      <w:r w:rsidR="00C82426" w:rsidRPr="00A36FA3">
        <w:t xml:space="preserve"> individuals provided evidence </w:t>
      </w:r>
      <w:r w:rsidR="009B56E4">
        <w:t xml:space="preserve">in your case </w:t>
      </w:r>
      <w:r w:rsidR="00F66711">
        <w:t xml:space="preserve">that we </w:t>
      </w:r>
      <w:r w:rsidR="00115327">
        <w:t xml:space="preserve">relied upon </w:t>
      </w:r>
      <w:r w:rsidR="005552BF">
        <w:t>to find</w:t>
      </w:r>
      <w:r w:rsidR="00F66711">
        <w:t xml:space="preserve"> </w:t>
      </w:r>
      <w:r w:rsidR="005A2EB2">
        <w:t>that you were</w:t>
      </w:r>
      <w:r w:rsidR="009B56E4">
        <w:t xml:space="preserve"> disabled.  </w:t>
      </w:r>
    </w:p>
    <w:p w:rsidR="007E3831" w:rsidRPr="007E3831" w:rsidRDefault="007E3831" w:rsidP="00E07EDB"/>
    <w:p w:rsidR="00E07EDB" w:rsidRPr="007E3831" w:rsidRDefault="009B56E4" w:rsidP="00E07EDB">
      <w:pPr>
        <w:rPr>
          <w:b/>
        </w:rPr>
      </w:pPr>
      <w:r w:rsidRPr="00FC0043">
        <w:rPr>
          <w:b/>
        </w:rPr>
        <w:t>What Actions I Am Taking</w:t>
      </w:r>
    </w:p>
    <w:p w:rsidR="00E07EDB" w:rsidRPr="007E3831" w:rsidRDefault="00E07EDB" w:rsidP="00E07EDB"/>
    <w:p w:rsidR="00B64F2A" w:rsidRDefault="00436D40" w:rsidP="00B64F2A">
      <w:r>
        <w:t xml:space="preserve">By law, </w:t>
      </w:r>
      <w:r w:rsidR="00001733">
        <w:t xml:space="preserve">SSA </w:t>
      </w:r>
      <w:r>
        <w:t xml:space="preserve">must redetermine your claim and disregard the evidence described below. </w:t>
      </w:r>
      <w:r w:rsidR="00B64F2A">
        <w:t>SSA is not allowed to consider</w:t>
      </w:r>
      <w:r w:rsidR="00FA5253">
        <w:t xml:space="preserve"> evidence from the following sources </w:t>
      </w:r>
      <w:r w:rsidR="00AE5379">
        <w:t>when it</w:t>
      </w:r>
      <w:r w:rsidR="00FA5253">
        <w:t xml:space="preserve"> is dated between January 1, 1988 and December 18, 2013</w:t>
      </w:r>
      <w:r w:rsidR="00B64F2A">
        <w:t>:</w:t>
      </w:r>
    </w:p>
    <w:p w:rsidR="00FA5253" w:rsidRDefault="00FA5253" w:rsidP="00FA5253">
      <w:pPr>
        <w:pStyle w:val="ListParagraph"/>
        <w:numPr>
          <w:ilvl w:val="0"/>
          <w:numId w:val="4"/>
        </w:numPr>
      </w:pPr>
      <w:r>
        <w:t>A</w:t>
      </w:r>
      <w:r w:rsidRPr="008959FC">
        <w:t xml:space="preserve">ny evidence regarding a mental impairment </w:t>
      </w:r>
      <w:r>
        <w:t>submitted by one of the four named individuals;</w:t>
      </w:r>
    </w:p>
    <w:p w:rsidR="00FA5253" w:rsidRDefault="00FA5253" w:rsidP="00B64F2A">
      <w:pPr>
        <w:pStyle w:val="ListParagraph"/>
        <w:numPr>
          <w:ilvl w:val="0"/>
          <w:numId w:val="4"/>
        </w:numPr>
      </w:pPr>
      <w:r>
        <w:t>Medical evidence from two psychiatrists identified by the DA as participating in the alleged scheme, Dr. Edward Sodaro and Dr. Raymond Pierre-Paul;</w:t>
      </w:r>
    </w:p>
    <w:p w:rsidR="00B64F2A" w:rsidRDefault="00FA5253" w:rsidP="00B64F2A">
      <w:pPr>
        <w:pStyle w:val="ListParagraph"/>
        <w:numPr>
          <w:ilvl w:val="0"/>
          <w:numId w:val="4"/>
        </w:numPr>
      </w:pPr>
      <w:r>
        <w:t>Evidence from you regarding a mental impairment that was diagnosed by Dr. Sodaro or Dr. Pierre-Paul</w:t>
      </w:r>
      <w:r w:rsidRPr="00A65976" w:rsidDel="001B11EA">
        <w:t xml:space="preserve"> </w:t>
      </w:r>
      <w:r>
        <w:t>(unless the impairment was independently diagnosed and otherwise substantiated by a medical source other than Dr. Sodaro or Dr. Pierre-Paul using evidence not associated with the fraudulent scheme)</w:t>
      </w:r>
      <w:r w:rsidR="00B64F2A">
        <w:t xml:space="preserve">; or </w:t>
      </w:r>
    </w:p>
    <w:p w:rsidR="00B64F2A" w:rsidRDefault="00FA5253" w:rsidP="00080C98">
      <w:pPr>
        <w:pStyle w:val="ListParagraph"/>
        <w:numPr>
          <w:ilvl w:val="0"/>
          <w:numId w:val="4"/>
        </w:numPr>
      </w:pPr>
      <w:r>
        <w:rPr>
          <w:lang w:val="es-MX"/>
        </w:rPr>
        <w:t>O</w:t>
      </w:r>
      <w:r>
        <w:t>ther m</w:t>
      </w:r>
      <w:r w:rsidRPr="00A65976">
        <w:t xml:space="preserve">edical evidence </w:t>
      </w:r>
      <w:r>
        <w:t xml:space="preserve">that relies </w:t>
      </w:r>
      <w:r w:rsidRPr="00A65976">
        <w:t>on</w:t>
      </w:r>
      <w:r>
        <w:t xml:space="preserve"> evidence</w:t>
      </w:r>
      <w:r w:rsidR="00080C98">
        <w:t xml:space="preserve"> </w:t>
      </w:r>
      <w:r w:rsidR="00080C98" w:rsidRPr="00080C98">
        <w:t>submitted by those involved in the fraudulent scheme</w:t>
      </w:r>
      <w:r>
        <w:t>, particularly your</w:t>
      </w:r>
      <w:r w:rsidRPr="00A65976">
        <w:t xml:space="preserve"> allegations regarding mental impairments in </w:t>
      </w:r>
      <w:r>
        <w:t>your</w:t>
      </w:r>
      <w:r w:rsidRPr="00A65976">
        <w:t xml:space="preserve"> original application, </w:t>
      </w:r>
      <w:r>
        <w:t xml:space="preserve">unless </w:t>
      </w:r>
      <w:r w:rsidRPr="00A65976">
        <w:t>the allegation</w:t>
      </w:r>
      <w:r>
        <w:t>s were independently diagnosed and are</w:t>
      </w:r>
      <w:r w:rsidRPr="00A65976">
        <w:t xml:space="preserve"> otherwise substantiated</w:t>
      </w:r>
      <w:r>
        <w:t xml:space="preserve"> by a medical source other than Dr. Sodaro or Dr. Pierre-Paul using evidence not associated with the fraudulent scheme</w:t>
      </w:r>
      <w:r w:rsidR="00B64F2A">
        <w:t>.</w:t>
      </w:r>
    </w:p>
    <w:p w:rsidR="005652A8" w:rsidRDefault="005652A8" w:rsidP="00E07EDB"/>
    <w:p w:rsidR="00933571" w:rsidRPr="007E3831" w:rsidRDefault="005652A8" w:rsidP="00933571">
      <w:r w:rsidRPr="007E3831">
        <w:t xml:space="preserve">I carefully reviewed the facts of your case, excluding </w:t>
      </w:r>
      <w:r>
        <w:t>th</w:t>
      </w:r>
      <w:r w:rsidR="00D86674">
        <w:t>e</w:t>
      </w:r>
      <w:r>
        <w:t xml:space="preserve"> evidence</w:t>
      </w:r>
      <w:r w:rsidR="00001733">
        <w:t xml:space="preserve"> described above</w:t>
      </w:r>
      <w:r>
        <w:t xml:space="preserve">.  I found that </w:t>
      </w:r>
      <w:r w:rsidRPr="007E3831">
        <w:t xml:space="preserve">the </w:t>
      </w:r>
      <w:r>
        <w:t xml:space="preserve">prior </w:t>
      </w:r>
      <w:r w:rsidRPr="007E3831">
        <w:t xml:space="preserve">decision in your case </w:t>
      </w:r>
      <w:r>
        <w:t>that you are disabled</w:t>
      </w:r>
      <w:r w:rsidR="00292153">
        <w:t xml:space="preserve"> may</w:t>
      </w:r>
      <w:r w:rsidR="00292153" w:rsidRPr="007E3831">
        <w:t xml:space="preserve"> </w:t>
      </w:r>
      <w:r w:rsidRPr="007E3831">
        <w:t>not</w:t>
      </w:r>
      <w:r w:rsidR="00292153">
        <w:t xml:space="preserve"> be</w:t>
      </w:r>
      <w:r w:rsidRPr="007E3831">
        <w:t xml:space="preserve"> supported.  </w:t>
      </w:r>
      <w:r w:rsidR="0012637D">
        <w:t xml:space="preserve">Please read the full </w:t>
      </w:r>
      <w:r w:rsidR="00933571" w:rsidRPr="007E3831">
        <w:t xml:space="preserve">explanation </w:t>
      </w:r>
      <w:r w:rsidR="0012637D">
        <w:t>in the Decision below</w:t>
      </w:r>
      <w:r w:rsidR="00933571" w:rsidRPr="007E3831">
        <w:t xml:space="preserve">. </w:t>
      </w:r>
      <w:r w:rsidR="00933571">
        <w:t xml:space="preserve"> </w:t>
      </w:r>
    </w:p>
    <w:p w:rsidR="009B56E4" w:rsidRDefault="009B56E4" w:rsidP="009B56E4">
      <w:pPr>
        <w:rPr>
          <w:b/>
        </w:rPr>
      </w:pPr>
    </w:p>
    <w:p w:rsidR="009B56E4" w:rsidRPr="007E3831" w:rsidRDefault="009B56E4" w:rsidP="009B56E4">
      <w:pPr>
        <w:rPr>
          <w:b/>
        </w:rPr>
      </w:pPr>
      <w:r>
        <w:rPr>
          <w:b/>
        </w:rPr>
        <w:t>What Happens Now</w:t>
      </w:r>
    </w:p>
    <w:p w:rsidR="00933571" w:rsidRDefault="00933571" w:rsidP="00E07EDB"/>
    <w:p w:rsidR="00D86674" w:rsidRDefault="005652A8">
      <w:r>
        <w:t xml:space="preserve">By law, </w:t>
      </w:r>
      <w:r w:rsidR="009B56E4">
        <w:t xml:space="preserve">SSA </w:t>
      </w:r>
      <w:r>
        <w:t xml:space="preserve">must redetermine your case, which means that </w:t>
      </w:r>
      <w:r w:rsidR="009B56E4">
        <w:t xml:space="preserve">we will </w:t>
      </w:r>
      <w:r>
        <w:t>again</w:t>
      </w:r>
      <w:r w:rsidR="009B56E4">
        <w:t xml:space="preserve"> consider whether </w:t>
      </w:r>
      <w:r>
        <w:t xml:space="preserve">you </w:t>
      </w:r>
      <w:r w:rsidR="00A36FA3">
        <w:t xml:space="preserve">were </w:t>
      </w:r>
      <w:r>
        <w:t>disabled</w:t>
      </w:r>
      <w:r w:rsidR="00A36FA3">
        <w:t xml:space="preserve"> as of </w:t>
      </w:r>
      <w:r w:rsidR="00A36FA3" w:rsidRPr="00C84530">
        <w:rPr>
          <w:highlight w:val="yellow"/>
        </w:rPr>
        <w:t>[Allowance Date]</w:t>
      </w:r>
      <w:r w:rsidR="00A36FA3">
        <w:t>, the date you were originally awarded benefits</w:t>
      </w:r>
      <w:r>
        <w:t xml:space="preserve">.  </w:t>
      </w:r>
      <w:r w:rsidR="00BA4359">
        <w:t>In doing so</w:t>
      </w:r>
      <w:r>
        <w:t xml:space="preserve">, </w:t>
      </w:r>
      <w:r w:rsidR="00783014">
        <w:t xml:space="preserve">SSA </w:t>
      </w:r>
      <w:r>
        <w:t xml:space="preserve">must ignore </w:t>
      </w:r>
      <w:r w:rsidR="00546443">
        <w:t xml:space="preserve">the </w:t>
      </w:r>
      <w:r>
        <w:t>evidence</w:t>
      </w:r>
      <w:r w:rsidR="00001733">
        <w:t xml:space="preserve"> described above that </w:t>
      </w:r>
      <w:r w:rsidR="00DC436C">
        <w:t>i</w:t>
      </w:r>
      <w:r w:rsidR="00001733">
        <w:t>s</w:t>
      </w:r>
      <w:r>
        <w:t xml:space="preserve"> in </w:t>
      </w:r>
      <w:r w:rsidR="0012637D">
        <w:t xml:space="preserve">your file in </w:t>
      </w:r>
      <w:r>
        <w:t xml:space="preserve">deciding whether you </w:t>
      </w:r>
      <w:r w:rsidR="00001733">
        <w:t xml:space="preserve">were </w:t>
      </w:r>
      <w:r>
        <w:t>disabled</w:t>
      </w:r>
      <w:r w:rsidR="00001733">
        <w:t xml:space="preserve"> at time we originally allowed your claim</w:t>
      </w:r>
      <w:r>
        <w:t xml:space="preserve">.  </w:t>
      </w:r>
    </w:p>
    <w:p w:rsidR="009B56E4" w:rsidRDefault="009B56E4" w:rsidP="007E3831"/>
    <w:p w:rsidR="00F94F6D" w:rsidRDefault="00F94F6D" w:rsidP="007E3831">
      <w:r w:rsidRPr="007E3831">
        <w:t>I wil</w:t>
      </w:r>
      <w:r>
        <w:t xml:space="preserve">l consider all other issues </w:t>
      </w:r>
      <w:r w:rsidRPr="007E3831">
        <w:t>related to your disability cl</w:t>
      </w:r>
      <w:r>
        <w:t xml:space="preserve">aim, and your case will be decided on all evidence </w:t>
      </w:r>
      <w:r w:rsidR="00783014">
        <w:t>not excluded by law</w:t>
      </w:r>
      <w:r>
        <w:t xml:space="preserve">.  You may submit new evidence that shows you were disabled prior to </w:t>
      </w:r>
      <w:r w:rsidRPr="00C84530">
        <w:rPr>
          <w:highlight w:val="yellow"/>
        </w:rPr>
        <w:t>[Allowance Date]</w:t>
      </w:r>
      <w:r>
        <w:t xml:space="preserve">.  You may submit arguments that </w:t>
      </w:r>
      <w:r w:rsidR="00FC58EE">
        <w:t>you were</w:t>
      </w:r>
      <w:r w:rsidR="00FC58EE" w:rsidRPr="00FC58EE">
        <w:t xml:space="preserve"> entitled to benefits at the time of </w:t>
      </w:r>
      <w:r w:rsidR="00FC58EE">
        <w:t>your</w:t>
      </w:r>
      <w:r w:rsidR="00FC58EE" w:rsidRPr="00FC58EE">
        <w:t xml:space="preserve"> original </w:t>
      </w:r>
      <w:r w:rsidR="00FC58EE">
        <w:t>award</w:t>
      </w:r>
      <w:r w:rsidR="00E679D7">
        <w:t>.</w:t>
      </w:r>
      <w:r w:rsidR="005652A8">
        <w:t xml:space="preserve">  </w:t>
      </w:r>
      <w:r w:rsidR="00DC436C">
        <w:t>You are also entitled to review all evidence in your file, including the referral letter and guilty pleas.  If you would like to review your file, please notify this office at the telephone number included below.</w:t>
      </w:r>
    </w:p>
    <w:p w:rsidR="00F94F6D" w:rsidRDefault="00F94F6D" w:rsidP="007E3831"/>
    <w:p w:rsidR="00F94F6D" w:rsidRDefault="00F94F6D" w:rsidP="00F94F6D">
      <w:r>
        <w:t xml:space="preserve">If you are entitled to a hearing on this matter, you will soon receive a notice regarding that right.  If you are not entitled to another hearing, you will receive a new written decision in the mail. </w:t>
      </w:r>
    </w:p>
    <w:p w:rsidR="00F94F6D" w:rsidRDefault="00F94F6D" w:rsidP="007E3831"/>
    <w:p w:rsidR="005847E0" w:rsidRDefault="005847E0" w:rsidP="005847E0">
      <w:pPr>
        <w:keepNext/>
        <w:widowControl w:val="0"/>
      </w:pPr>
      <w:r>
        <w:rPr>
          <w:b/>
        </w:rPr>
        <w:t>If You Have Any Questions</w:t>
      </w:r>
    </w:p>
    <w:p w:rsidR="005847E0" w:rsidRDefault="005847E0" w:rsidP="005847E0">
      <w:pPr>
        <w:keepNext/>
        <w:widowControl w:val="0"/>
      </w:pPr>
    </w:p>
    <w:p w:rsidR="00D86674" w:rsidRDefault="00D86674" w:rsidP="00B16097">
      <w:pPr>
        <w:keepNext/>
        <w:widowControl w:val="0"/>
      </w:pPr>
      <w:r>
        <w:t xml:space="preserve">If you have any questions, please call, </w:t>
      </w:r>
      <w:r w:rsidRPr="00E21AD2">
        <w:rPr>
          <w:highlight w:val="yellow"/>
        </w:rPr>
        <w:t>(ENTER HO PHONE NUMBER)</w:t>
      </w:r>
      <w:r>
        <w:t>, or write this office. For your convenience, our address is on the first page of this notice.</w:t>
      </w:r>
    </w:p>
    <w:p w:rsidR="00D86674" w:rsidRDefault="00D86674" w:rsidP="00B16097">
      <w:pPr>
        <w:keepNext/>
        <w:widowControl w:val="0"/>
      </w:pPr>
    </w:p>
    <w:p w:rsidR="002B6CBE" w:rsidRDefault="002B6CBE" w:rsidP="00B16097">
      <w:pPr>
        <w:keepNext/>
        <w:widowControl w:val="0"/>
      </w:pPr>
    </w:p>
    <w:p w:rsidR="002B6CBE" w:rsidRDefault="002B6CBE" w:rsidP="00B16097">
      <w:pPr>
        <w:keepNext/>
        <w:widowControl w:val="0"/>
      </w:pPr>
    </w:p>
    <w:p w:rsidR="005847E0" w:rsidRPr="007E3831" w:rsidRDefault="005847E0" w:rsidP="00B16097">
      <w:pPr>
        <w:keepNext/>
        <w:widowControl w:val="0"/>
      </w:pPr>
    </w:p>
    <w:p w:rsidR="00E07EDB" w:rsidRPr="007E3831" w:rsidRDefault="00E07EDB" w:rsidP="00B16097">
      <w:pPr>
        <w:pStyle w:val="BodyTextIndent"/>
        <w:keepNext/>
        <w:widowControl w:val="0"/>
        <w:ind w:left="5040"/>
      </w:pPr>
      <w:r w:rsidRPr="007E3831">
        <w:t>Administrative Law Judge</w:t>
      </w:r>
    </w:p>
    <w:p w:rsidR="00E07EDB" w:rsidRPr="007E3831" w:rsidRDefault="00E07EDB" w:rsidP="00B16097">
      <w:pPr>
        <w:keepNext/>
        <w:widowControl w:val="0"/>
        <w:rPr>
          <w:highlight w:val="blue"/>
        </w:rPr>
      </w:pPr>
    </w:p>
    <w:p w:rsidR="00E07EDB" w:rsidRPr="007E3831" w:rsidRDefault="00E07EDB" w:rsidP="00B16097"/>
    <w:p w:rsidR="00E07EDB" w:rsidRPr="007E3831" w:rsidRDefault="00E07EDB" w:rsidP="00B16097">
      <w:pPr>
        <w:keepNext/>
      </w:pPr>
      <w:r w:rsidRPr="007E3831">
        <w:t>Enclosures:</w:t>
      </w:r>
    </w:p>
    <w:p w:rsidR="00E07EDB" w:rsidRPr="007E3831" w:rsidRDefault="00E07EDB" w:rsidP="00B16097">
      <w:pPr>
        <w:keepNext/>
      </w:pPr>
      <w:r w:rsidRPr="007E3831">
        <w:t>Rationale</w:t>
      </w:r>
    </w:p>
    <w:p w:rsidR="00E07EDB" w:rsidRPr="007E3831" w:rsidRDefault="00E07EDB" w:rsidP="00B16097">
      <w:pPr>
        <w:keepNext/>
      </w:pPr>
      <w:bookmarkStart w:id="1" w:name="EnclInsertPoint"/>
      <w:bookmarkEnd w:id="1"/>
    </w:p>
    <w:p w:rsidR="00E07EDB" w:rsidRPr="007E3831" w:rsidRDefault="00E07EDB" w:rsidP="00B16097">
      <w:pPr>
        <w:keepNext/>
      </w:pPr>
    </w:p>
    <w:p w:rsidR="00E07EDB" w:rsidRPr="007E3831" w:rsidRDefault="00E07EDB">
      <w:pPr>
        <w:sectPr w:rsidR="00E07EDB" w:rsidRPr="007E3831" w:rsidSect="00E07EDB">
          <w:headerReference w:type="default" r:id="rId13"/>
          <w:footerReference w:type="default" r:id="rId14"/>
          <w:footerReference w:type="first" r:id="rId15"/>
          <w:pgSz w:w="12240" w:h="15840"/>
          <w:pgMar w:top="1440" w:right="1440" w:bottom="1440" w:left="1440" w:header="720" w:footer="720" w:gutter="0"/>
          <w:pgNumType w:start="1"/>
          <w:cols w:space="720"/>
          <w:noEndnote/>
          <w:titlePg/>
          <w:docGrid w:linePitch="326"/>
        </w:sectPr>
      </w:pPr>
    </w:p>
    <w:p w:rsidR="00E07EDB" w:rsidRPr="007E3831" w:rsidRDefault="00E07EDB" w:rsidP="00B16097">
      <w:pPr>
        <w:keepNext/>
        <w:keepLines/>
        <w:tabs>
          <w:tab w:val="left" w:pos="245"/>
          <w:tab w:val="left" w:pos="1685"/>
        </w:tabs>
        <w:jc w:val="center"/>
        <w:rPr>
          <w:b/>
          <w:snapToGrid w:val="0"/>
        </w:rPr>
      </w:pPr>
      <w:r w:rsidRPr="007E3831">
        <w:rPr>
          <w:b/>
          <w:snapToGrid w:val="0"/>
        </w:rPr>
        <w:t>SOCIAL SECURITY ADMINISTRATION</w:t>
      </w:r>
    </w:p>
    <w:p w:rsidR="00E07EDB" w:rsidRPr="007E3831" w:rsidRDefault="00E07EDB" w:rsidP="00B16097">
      <w:pPr>
        <w:widowControl w:val="0"/>
        <w:jc w:val="center"/>
        <w:outlineLvl w:val="0"/>
        <w:rPr>
          <w:b/>
          <w:snapToGrid w:val="0"/>
        </w:rPr>
      </w:pPr>
      <w:r w:rsidRPr="007E3831">
        <w:rPr>
          <w:b/>
          <w:snapToGrid w:val="0"/>
        </w:rPr>
        <w:t>Office of Disability Adjudication and Review</w:t>
      </w:r>
    </w:p>
    <w:p w:rsidR="00E07EDB" w:rsidRPr="007E3831" w:rsidRDefault="00E07EDB" w:rsidP="00B16097">
      <w:pPr>
        <w:widowControl w:val="0"/>
        <w:rPr>
          <w:snapToGrid w:val="0"/>
        </w:rPr>
      </w:pPr>
    </w:p>
    <w:p w:rsidR="00E07EDB" w:rsidRPr="007E3831" w:rsidRDefault="00E07EDB" w:rsidP="00B16097">
      <w:pPr>
        <w:widowControl w:val="0"/>
        <w:jc w:val="center"/>
        <w:rPr>
          <w:b/>
          <w:snapToGrid w:val="0"/>
        </w:rPr>
      </w:pPr>
      <w:r w:rsidRPr="007E3831">
        <w:rPr>
          <w:b/>
          <w:snapToGrid w:val="0"/>
        </w:rPr>
        <w:t>DECISION</w:t>
      </w:r>
      <w:r w:rsidR="005847E0">
        <w:rPr>
          <w:b/>
          <w:snapToGrid w:val="0"/>
        </w:rPr>
        <w:t xml:space="preserve"> TO REDETERMINE</w:t>
      </w:r>
    </w:p>
    <w:p w:rsidR="00E07EDB" w:rsidRPr="007E3831" w:rsidRDefault="00E07EDB" w:rsidP="00B16097">
      <w:pPr>
        <w:widowControl w:val="0"/>
        <w:rPr>
          <w:snapToGrid w:val="0"/>
        </w:rPr>
      </w:pPr>
    </w:p>
    <w:tbl>
      <w:tblPr>
        <w:tblW w:w="0" w:type="auto"/>
        <w:tblLayout w:type="fixed"/>
        <w:tblCellMar>
          <w:left w:w="0" w:type="dxa"/>
          <w:right w:w="0" w:type="dxa"/>
        </w:tblCellMar>
        <w:tblLook w:val="0000" w:firstRow="0" w:lastRow="0" w:firstColumn="0" w:lastColumn="0" w:noHBand="0" w:noVBand="0"/>
      </w:tblPr>
      <w:tblGrid>
        <w:gridCol w:w="3888"/>
        <w:gridCol w:w="1260"/>
        <w:gridCol w:w="4410"/>
      </w:tblGrid>
      <w:tr w:rsidR="007E3831" w:rsidRPr="007E3831">
        <w:tc>
          <w:tcPr>
            <w:tcW w:w="3888" w:type="dxa"/>
          </w:tcPr>
          <w:p w:rsidR="00E07EDB" w:rsidRPr="007E3831" w:rsidRDefault="00E07EDB" w:rsidP="00B16097">
            <w:pPr>
              <w:widowControl w:val="0"/>
              <w:rPr>
                <w:rFonts w:eastAsia="Calibri"/>
                <w:b/>
                <w:snapToGrid w:val="0"/>
                <w:szCs w:val="22"/>
                <w:u w:val="single"/>
              </w:rPr>
            </w:pPr>
            <w:r w:rsidRPr="007E3831">
              <w:rPr>
                <w:rFonts w:eastAsia="Calibri"/>
                <w:b/>
                <w:snapToGrid w:val="0"/>
                <w:szCs w:val="22"/>
                <w:u w:val="single"/>
              </w:rPr>
              <w:t>IN THE CASE OF</w:t>
            </w:r>
          </w:p>
        </w:tc>
        <w:tc>
          <w:tcPr>
            <w:tcW w:w="1260" w:type="dxa"/>
          </w:tcPr>
          <w:p w:rsidR="00E07EDB" w:rsidRPr="007E3831" w:rsidRDefault="00E07EDB" w:rsidP="00B16097">
            <w:pPr>
              <w:widowControl w:val="0"/>
              <w:rPr>
                <w:rFonts w:eastAsia="Calibri"/>
                <w:b/>
                <w:snapToGrid w:val="0"/>
                <w:szCs w:val="22"/>
              </w:rPr>
            </w:pPr>
          </w:p>
        </w:tc>
        <w:tc>
          <w:tcPr>
            <w:tcW w:w="4410" w:type="dxa"/>
          </w:tcPr>
          <w:p w:rsidR="00E07EDB" w:rsidRPr="007E3831" w:rsidRDefault="00E07EDB" w:rsidP="00B16097">
            <w:pPr>
              <w:widowControl w:val="0"/>
              <w:rPr>
                <w:rFonts w:eastAsia="Calibri"/>
                <w:b/>
                <w:snapToGrid w:val="0"/>
                <w:szCs w:val="22"/>
                <w:u w:val="single"/>
              </w:rPr>
            </w:pPr>
            <w:r w:rsidRPr="007E3831">
              <w:rPr>
                <w:rFonts w:eastAsia="Calibri"/>
                <w:b/>
                <w:snapToGrid w:val="0"/>
                <w:szCs w:val="22"/>
                <w:u w:val="single"/>
              </w:rPr>
              <w:t>CLAIM FOR</w:t>
            </w:r>
          </w:p>
        </w:tc>
      </w:tr>
      <w:tr w:rsidR="007E3831" w:rsidRPr="007E3831">
        <w:tc>
          <w:tcPr>
            <w:tcW w:w="3888" w:type="dxa"/>
            <w:vAlign w:val="bottom"/>
          </w:tcPr>
          <w:p w:rsidR="00E07EDB" w:rsidRPr="007E3831" w:rsidRDefault="00E07EDB" w:rsidP="00B16097">
            <w:pPr>
              <w:widowControl w:val="0"/>
              <w:rPr>
                <w:rFonts w:eastAsia="Calibri"/>
                <w:snapToGrid w:val="0"/>
                <w:szCs w:val="22"/>
              </w:rPr>
            </w:pPr>
          </w:p>
        </w:tc>
        <w:tc>
          <w:tcPr>
            <w:tcW w:w="1260" w:type="dxa"/>
            <w:vAlign w:val="bottom"/>
          </w:tcPr>
          <w:p w:rsidR="00E07EDB" w:rsidRPr="007E3831" w:rsidRDefault="00E07EDB" w:rsidP="00B16097">
            <w:pPr>
              <w:widowControl w:val="0"/>
              <w:rPr>
                <w:rFonts w:eastAsia="Calibri"/>
                <w:snapToGrid w:val="0"/>
                <w:szCs w:val="22"/>
              </w:rPr>
            </w:pPr>
          </w:p>
        </w:tc>
        <w:tc>
          <w:tcPr>
            <w:tcW w:w="4410" w:type="dxa"/>
            <w:vAlign w:val="bottom"/>
          </w:tcPr>
          <w:p w:rsidR="00E07EDB" w:rsidRPr="007E3831" w:rsidRDefault="00E07EDB" w:rsidP="00B16097">
            <w:pPr>
              <w:widowControl w:val="0"/>
              <w:rPr>
                <w:rFonts w:eastAsia="Calibri"/>
                <w:szCs w:val="22"/>
              </w:rPr>
            </w:pPr>
          </w:p>
          <w:p w:rsidR="00E07EDB" w:rsidRPr="007E3831" w:rsidRDefault="00E07EDB" w:rsidP="00B16097">
            <w:pPr>
              <w:widowControl w:val="0"/>
              <w:rPr>
                <w:rFonts w:eastAsia="Calibri"/>
                <w:snapToGrid w:val="0"/>
                <w:szCs w:val="22"/>
              </w:rPr>
            </w:pPr>
          </w:p>
        </w:tc>
      </w:tr>
      <w:tr w:rsidR="007E3831" w:rsidRPr="007E3831">
        <w:tc>
          <w:tcPr>
            <w:tcW w:w="3888" w:type="dxa"/>
            <w:tcBorders>
              <w:top w:val="single" w:sz="4" w:space="0" w:color="auto"/>
            </w:tcBorders>
          </w:tcPr>
          <w:p w:rsidR="00E07EDB" w:rsidRPr="007E3831" w:rsidRDefault="00E07EDB" w:rsidP="002B0945">
            <w:pPr>
              <w:widowControl w:val="0"/>
              <w:rPr>
                <w:rFonts w:eastAsia="Calibri"/>
                <w:snapToGrid w:val="0"/>
                <w:szCs w:val="22"/>
              </w:rPr>
            </w:pPr>
            <w:r w:rsidRPr="007E3831">
              <w:rPr>
                <w:rFonts w:eastAsia="Calibri"/>
                <w:snapToGrid w:val="0"/>
                <w:szCs w:val="22"/>
              </w:rPr>
              <w:t>(</w:t>
            </w:r>
            <w:r w:rsidR="002B0945">
              <w:rPr>
                <w:rFonts w:eastAsia="Calibri"/>
                <w:snapToGrid w:val="0"/>
                <w:szCs w:val="22"/>
              </w:rPr>
              <w:t>Beneficiary</w:t>
            </w:r>
            <w:r w:rsidRPr="007E3831">
              <w:rPr>
                <w:rFonts w:eastAsia="Calibri"/>
                <w:snapToGrid w:val="0"/>
                <w:szCs w:val="22"/>
              </w:rPr>
              <w:t>)</w:t>
            </w:r>
          </w:p>
        </w:tc>
        <w:tc>
          <w:tcPr>
            <w:tcW w:w="1260" w:type="dxa"/>
          </w:tcPr>
          <w:p w:rsidR="00E07EDB" w:rsidRPr="007E3831" w:rsidRDefault="00E07EDB" w:rsidP="00B16097">
            <w:pPr>
              <w:widowControl w:val="0"/>
              <w:rPr>
                <w:rFonts w:eastAsia="Calibri"/>
                <w:snapToGrid w:val="0"/>
                <w:szCs w:val="22"/>
              </w:rPr>
            </w:pPr>
          </w:p>
        </w:tc>
        <w:tc>
          <w:tcPr>
            <w:tcW w:w="4410" w:type="dxa"/>
            <w:tcBorders>
              <w:top w:val="single" w:sz="4" w:space="0" w:color="auto"/>
            </w:tcBorders>
          </w:tcPr>
          <w:p w:rsidR="00E07EDB" w:rsidRPr="007E3831" w:rsidRDefault="00E21AD2" w:rsidP="00B16097">
            <w:pPr>
              <w:widowControl w:val="0"/>
              <w:rPr>
                <w:rFonts w:eastAsia="Calibri"/>
                <w:snapToGrid w:val="0"/>
                <w:szCs w:val="22"/>
              </w:rPr>
            </w:pPr>
            <w:r>
              <w:rPr>
                <w:rFonts w:eastAsia="Calibri"/>
                <w:snapToGrid w:val="0"/>
                <w:szCs w:val="22"/>
              </w:rPr>
              <w:t>(</w:t>
            </w:r>
            <w:r w:rsidRPr="00E21AD2">
              <w:rPr>
                <w:rFonts w:eastAsia="Calibri"/>
                <w:snapToGrid w:val="0"/>
                <w:szCs w:val="22"/>
                <w:highlight w:val="yellow"/>
              </w:rPr>
              <w:t>Type of claim</w:t>
            </w:r>
            <w:r>
              <w:rPr>
                <w:rFonts w:eastAsia="Calibri"/>
                <w:snapToGrid w:val="0"/>
                <w:szCs w:val="22"/>
              </w:rPr>
              <w:t>)</w:t>
            </w:r>
          </w:p>
        </w:tc>
      </w:tr>
      <w:tr w:rsidR="007E3831" w:rsidRPr="007E3831">
        <w:tc>
          <w:tcPr>
            <w:tcW w:w="3888" w:type="dxa"/>
            <w:vAlign w:val="bottom"/>
          </w:tcPr>
          <w:p w:rsidR="00E07EDB" w:rsidRPr="007E3831" w:rsidRDefault="00E07EDB" w:rsidP="00B16097">
            <w:pPr>
              <w:widowControl w:val="0"/>
              <w:rPr>
                <w:rFonts w:eastAsia="Calibri"/>
                <w:snapToGrid w:val="0"/>
                <w:szCs w:val="22"/>
              </w:rPr>
            </w:pPr>
            <w:r w:rsidRPr="007E3831">
              <w:rPr>
                <w:rFonts w:eastAsia="Calibri"/>
                <w:snapToGrid w:val="0"/>
                <w:szCs w:val="22"/>
              </w:rPr>
              <w:t xml:space="preserve"> </w:t>
            </w:r>
          </w:p>
        </w:tc>
        <w:tc>
          <w:tcPr>
            <w:tcW w:w="1260" w:type="dxa"/>
          </w:tcPr>
          <w:p w:rsidR="00E07EDB" w:rsidRPr="007E3831" w:rsidRDefault="00E07EDB" w:rsidP="00B16097">
            <w:pPr>
              <w:widowControl w:val="0"/>
              <w:rPr>
                <w:rFonts w:eastAsia="Calibri"/>
                <w:snapToGrid w:val="0"/>
                <w:szCs w:val="22"/>
              </w:rPr>
            </w:pPr>
          </w:p>
        </w:tc>
        <w:tc>
          <w:tcPr>
            <w:tcW w:w="4410" w:type="dxa"/>
            <w:vAlign w:val="bottom"/>
          </w:tcPr>
          <w:p w:rsidR="00E07EDB" w:rsidRPr="007E3831" w:rsidRDefault="00E07EDB" w:rsidP="00B16097">
            <w:pPr>
              <w:widowControl w:val="0"/>
              <w:rPr>
                <w:rFonts w:eastAsia="Calibri"/>
                <w:snapToGrid w:val="0"/>
                <w:szCs w:val="22"/>
              </w:rPr>
            </w:pPr>
          </w:p>
        </w:tc>
      </w:tr>
      <w:tr w:rsidR="00E07EDB" w:rsidRPr="007E3831">
        <w:tc>
          <w:tcPr>
            <w:tcW w:w="3888" w:type="dxa"/>
            <w:tcBorders>
              <w:top w:val="single" w:sz="4" w:space="0" w:color="auto"/>
            </w:tcBorders>
          </w:tcPr>
          <w:p w:rsidR="00E07EDB" w:rsidRPr="007E3831" w:rsidRDefault="00E07EDB" w:rsidP="00B16097">
            <w:pPr>
              <w:widowControl w:val="0"/>
              <w:rPr>
                <w:rFonts w:eastAsia="Calibri"/>
                <w:snapToGrid w:val="0"/>
                <w:szCs w:val="22"/>
              </w:rPr>
            </w:pPr>
            <w:r w:rsidRPr="007E3831">
              <w:rPr>
                <w:rFonts w:eastAsia="Calibri"/>
                <w:snapToGrid w:val="0"/>
                <w:szCs w:val="22"/>
              </w:rPr>
              <w:t>(Wage Earner)</w:t>
            </w:r>
          </w:p>
        </w:tc>
        <w:tc>
          <w:tcPr>
            <w:tcW w:w="1260" w:type="dxa"/>
          </w:tcPr>
          <w:p w:rsidR="00E07EDB" w:rsidRPr="007E3831" w:rsidRDefault="00E07EDB" w:rsidP="00B16097">
            <w:pPr>
              <w:widowControl w:val="0"/>
              <w:rPr>
                <w:rFonts w:eastAsia="Calibri"/>
                <w:snapToGrid w:val="0"/>
                <w:szCs w:val="22"/>
              </w:rPr>
            </w:pPr>
          </w:p>
        </w:tc>
        <w:tc>
          <w:tcPr>
            <w:tcW w:w="4410" w:type="dxa"/>
            <w:tcBorders>
              <w:top w:val="single" w:sz="4" w:space="0" w:color="auto"/>
            </w:tcBorders>
          </w:tcPr>
          <w:p w:rsidR="00E07EDB" w:rsidRPr="007E3831" w:rsidRDefault="00E07EDB" w:rsidP="00B16097">
            <w:pPr>
              <w:widowControl w:val="0"/>
              <w:rPr>
                <w:rFonts w:eastAsia="Calibri"/>
                <w:snapToGrid w:val="0"/>
                <w:szCs w:val="22"/>
              </w:rPr>
            </w:pPr>
            <w:r w:rsidRPr="007E3831">
              <w:rPr>
                <w:rFonts w:eastAsia="Calibri"/>
                <w:snapToGrid w:val="0"/>
                <w:szCs w:val="22"/>
              </w:rPr>
              <w:t>(Social Security Number)</w:t>
            </w:r>
          </w:p>
        </w:tc>
      </w:tr>
    </w:tbl>
    <w:p w:rsidR="00E07EDB" w:rsidRPr="007E3831" w:rsidRDefault="00E07EDB" w:rsidP="00B16097"/>
    <w:p w:rsidR="005847E0" w:rsidRDefault="005847E0" w:rsidP="005847E0">
      <w:pPr>
        <w:pStyle w:val="StyleBoldUnderlineCentered"/>
      </w:pPr>
      <w:r>
        <w:t>JURISDICTION AND PROCEDURAL HISTORY</w:t>
      </w:r>
    </w:p>
    <w:p w:rsidR="005847E0" w:rsidRDefault="005847E0" w:rsidP="005847E0"/>
    <w:p w:rsidR="00933571" w:rsidRDefault="005847E0" w:rsidP="005847E0">
      <w:pPr>
        <w:rPr>
          <w:snapToGrid w:val="0"/>
        </w:rPr>
      </w:pPr>
      <w:r>
        <w:t xml:space="preserve">On </w:t>
      </w:r>
      <w:r w:rsidR="00933571" w:rsidRPr="00C84530">
        <w:rPr>
          <w:highlight w:val="yellow"/>
        </w:rPr>
        <w:t>[DATE]</w:t>
      </w:r>
      <w:r>
        <w:t xml:space="preserve">, the </w:t>
      </w:r>
      <w:r w:rsidR="002B0945">
        <w:t xml:space="preserve">beneficiary </w:t>
      </w:r>
      <w:r w:rsidR="00933571" w:rsidRPr="00C84530">
        <w:rPr>
          <w:highlight w:val="yellow"/>
        </w:rPr>
        <w:t>[</w:t>
      </w:r>
      <w:r w:rsidRPr="00C84530">
        <w:rPr>
          <w:highlight w:val="yellow"/>
        </w:rPr>
        <w:t>protectively</w:t>
      </w:r>
      <w:r w:rsidR="00933571" w:rsidRPr="00C84530">
        <w:rPr>
          <w:highlight w:val="yellow"/>
        </w:rPr>
        <w:t>]</w:t>
      </w:r>
      <w:r>
        <w:t xml:space="preserve"> filed a Title II application for a period of disability and disability insurance benefits.  </w:t>
      </w:r>
      <w:r w:rsidR="00F258C4">
        <w:t>T</w:t>
      </w:r>
      <w:r>
        <w:t xml:space="preserve">he </w:t>
      </w:r>
      <w:r w:rsidR="002B0945">
        <w:t xml:space="preserve">beneficiary </w:t>
      </w:r>
      <w:r>
        <w:t xml:space="preserve">alleged disability beginning </w:t>
      </w:r>
      <w:r w:rsidR="00933571" w:rsidRPr="00C84530">
        <w:rPr>
          <w:highlight w:val="yellow"/>
        </w:rPr>
        <w:t>[DATE]</w:t>
      </w:r>
      <w:r>
        <w:t xml:space="preserve">.  </w:t>
      </w:r>
      <w:r w:rsidR="00933571">
        <w:rPr>
          <w:snapToGrid w:val="0"/>
        </w:rPr>
        <w:t xml:space="preserve">A decision favorable to the </w:t>
      </w:r>
      <w:r w:rsidR="002B0945">
        <w:rPr>
          <w:snapToGrid w:val="0"/>
        </w:rPr>
        <w:t xml:space="preserve">beneficiary </w:t>
      </w:r>
      <w:r w:rsidR="00933571">
        <w:rPr>
          <w:snapToGrid w:val="0"/>
        </w:rPr>
        <w:t xml:space="preserve">was issued on </w:t>
      </w:r>
      <w:r w:rsidR="00933571" w:rsidRPr="00C84530">
        <w:rPr>
          <w:snapToGrid w:val="0"/>
          <w:highlight w:val="yellow"/>
        </w:rPr>
        <w:t>[DATE]</w:t>
      </w:r>
      <w:r w:rsidR="00933571">
        <w:rPr>
          <w:snapToGrid w:val="0"/>
        </w:rPr>
        <w:t>.</w:t>
      </w:r>
    </w:p>
    <w:p w:rsidR="00933571" w:rsidRDefault="00933571" w:rsidP="005847E0">
      <w:pPr>
        <w:rPr>
          <w:snapToGrid w:val="0"/>
        </w:rPr>
      </w:pPr>
    </w:p>
    <w:p w:rsidR="005847E0" w:rsidRDefault="005847E0" w:rsidP="005847E0">
      <w:pPr>
        <w:pStyle w:val="StyleBoldUnderlineCentered"/>
      </w:pPr>
      <w:r>
        <w:t>ISSUES</w:t>
      </w:r>
      <w:r w:rsidR="00933571">
        <w:t xml:space="preserve"> AND APPLICABLE LAW</w:t>
      </w:r>
    </w:p>
    <w:p w:rsidR="005847E0" w:rsidRDefault="005847E0" w:rsidP="005847E0">
      <w:pPr>
        <w:pStyle w:val="StyleBoldUnderlineCentered"/>
      </w:pPr>
    </w:p>
    <w:p w:rsidR="005847E0" w:rsidRDefault="005C5320" w:rsidP="005847E0">
      <w:pPr>
        <w:pStyle w:val="Default"/>
        <w:rPr>
          <w:rFonts w:eastAsia="Calibri"/>
        </w:rPr>
      </w:pPr>
      <w:r>
        <w:rPr>
          <w:rFonts w:eastAsia="Calibri"/>
        </w:rPr>
        <w:t>Under section 205(u) of the Social Security Act</w:t>
      </w:r>
      <w:r w:rsidR="00250762">
        <w:rPr>
          <w:rFonts w:eastAsia="Calibri"/>
        </w:rPr>
        <w:t xml:space="preserve"> (Act)</w:t>
      </w:r>
      <w:r w:rsidR="005847E0">
        <w:rPr>
          <w:rFonts w:eastAsia="Calibri"/>
        </w:rPr>
        <w:t xml:space="preserve">, </w:t>
      </w:r>
      <w:r w:rsidR="00EB7DA0">
        <w:rPr>
          <w:rFonts w:eastAsia="Calibri"/>
        </w:rPr>
        <w:t>the Social Security Administration (</w:t>
      </w:r>
      <w:r w:rsidR="005847E0">
        <w:rPr>
          <w:rFonts w:eastAsia="Calibri"/>
        </w:rPr>
        <w:t>SSA</w:t>
      </w:r>
      <w:r w:rsidR="00EB7DA0">
        <w:rPr>
          <w:rFonts w:eastAsia="Calibri"/>
        </w:rPr>
        <w:t>)</w:t>
      </w:r>
      <w:r w:rsidR="005847E0">
        <w:rPr>
          <w:rFonts w:eastAsia="Calibri"/>
        </w:rPr>
        <w:t xml:space="preserve"> </w:t>
      </w:r>
      <w:r w:rsidR="00BD3A42">
        <w:rPr>
          <w:rFonts w:eastAsia="Calibri"/>
        </w:rPr>
        <w:t>must</w:t>
      </w:r>
      <w:r w:rsidR="008F50A9">
        <w:rPr>
          <w:rFonts w:eastAsia="Calibri"/>
        </w:rPr>
        <w:t xml:space="preserve"> </w:t>
      </w:r>
      <w:r w:rsidR="005847E0">
        <w:rPr>
          <w:rFonts w:eastAsia="Calibri"/>
        </w:rPr>
        <w:t xml:space="preserve">redetermine an individual’s entitlement to </w:t>
      </w:r>
      <w:r w:rsidR="00FA5253">
        <w:rPr>
          <w:rFonts w:eastAsia="Calibri"/>
        </w:rPr>
        <w:t>disability benefits</w:t>
      </w:r>
      <w:r w:rsidR="002314CF">
        <w:rPr>
          <w:rFonts w:eastAsia="Calibri"/>
        </w:rPr>
        <w:t xml:space="preserve"> </w:t>
      </w:r>
      <w:r w:rsidR="00FA5253">
        <w:rPr>
          <w:rFonts w:eastAsia="Calibri"/>
        </w:rPr>
        <w:t xml:space="preserve">and disregard evidence </w:t>
      </w:r>
      <w:r w:rsidR="005847E0">
        <w:rPr>
          <w:rFonts w:eastAsia="Calibri"/>
        </w:rPr>
        <w:t xml:space="preserve">when there is reason to believe fraud or similar fault was involved in that individual’s application for benefits.  </w:t>
      </w:r>
      <w:r w:rsidR="009A4022" w:rsidRPr="00A36FA3">
        <w:t xml:space="preserve">The </w:t>
      </w:r>
      <w:r w:rsidR="009A4022">
        <w:t>New York County District Attorney’s Office (DA)</w:t>
      </w:r>
      <w:r w:rsidR="009A4022" w:rsidRPr="00A36FA3">
        <w:t xml:space="preserve"> and the Office of the Inspector General of </w:t>
      </w:r>
      <w:r w:rsidR="00FC0043">
        <w:t>SSA</w:t>
      </w:r>
      <w:r w:rsidR="009A4022" w:rsidRPr="00A36FA3">
        <w:t xml:space="preserve"> conducted an extensive criminal investigation</w:t>
      </w:r>
      <w:r w:rsidR="002314CF">
        <w:t xml:space="preserve"> that </w:t>
      </w:r>
      <w:r w:rsidR="009A4022" w:rsidRPr="00A36FA3">
        <w:t xml:space="preserve">resulted in </w:t>
      </w:r>
      <w:r w:rsidR="009A4022">
        <w:t>th</w:t>
      </w:r>
      <w:r w:rsidR="009A4022" w:rsidRPr="00A36FA3">
        <w:t xml:space="preserve">e criminal indictment </w:t>
      </w:r>
      <w:r w:rsidR="009B17C1">
        <w:t xml:space="preserve">and </w:t>
      </w:r>
      <w:r w:rsidR="00943F2B">
        <w:t xml:space="preserve">conviction of </w:t>
      </w:r>
      <w:r w:rsidR="009A4022">
        <w:t>Raymond Lavallee, Thomas Hale, Joseph Esposito, and John Minerva</w:t>
      </w:r>
      <w:r w:rsidR="002314CF">
        <w:t>.  Th</w:t>
      </w:r>
      <w:r w:rsidR="00FC0043">
        <w:t>e</w:t>
      </w:r>
      <w:r w:rsidR="002314CF">
        <w:t>se individuals</w:t>
      </w:r>
      <w:r w:rsidR="00FC0043">
        <w:t xml:space="preserve"> admitted to conducting </w:t>
      </w:r>
      <w:r w:rsidR="00943F2B">
        <w:t xml:space="preserve">a scheme to </w:t>
      </w:r>
      <w:r w:rsidR="009A4022" w:rsidRPr="00A36FA3">
        <w:t>mak</w:t>
      </w:r>
      <w:r w:rsidR="00943F2B">
        <w:t>e</w:t>
      </w:r>
      <w:r w:rsidR="009A4022" w:rsidRPr="00A36FA3">
        <w:t xml:space="preserve"> false statements</w:t>
      </w:r>
      <w:r w:rsidR="00943F2B">
        <w:t xml:space="preserve"> or other misrepresentations</w:t>
      </w:r>
      <w:r w:rsidR="009A4022" w:rsidRPr="00A36FA3">
        <w:t xml:space="preserve"> to </w:t>
      </w:r>
      <w:r w:rsidR="009A4022">
        <w:t>SSA</w:t>
      </w:r>
      <w:r w:rsidR="00943F2B">
        <w:t xml:space="preserve"> in order to obtain </w:t>
      </w:r>
      <w:r w:rsidR="00FC0043">
        <w:t>fraudulent</w:t>
      </w:r>
      <w:r w:rsidR="00943F2B">
        <w:t xml:space="preserve"> benefits for others</w:t>
      </w:r>
      <w:r w:rsidR="009A4022">
        <w:t>.</w:t>
      </w:r>
      <w:r w:rsidR="00FC0043">
        <w:t xml:space="preserve">  Numerous individual beneficiaries have also been indicted and convicted in connection with the DA’s investigation.</w:t>
      </w:r>
      <w:r w:rsidR="00943F2B">
        <w:t xml:space="preserve">  </w:t>
      </w:r>
      <w:r w:rsidR="008527D3" w:rsidRPr="008527D3">
        <w:t xml:space="preserve"> </w:t>
      </w:r>
      <w:r w:rsidR="00341AB7">
        <w:t xml:space="preserve"> </w:t>
      </w:r>
    </w:p>
    <w:p w:rsidR="00933571" w:rsidRDefault="00933571" w:rsidP="005847E0">
      <w:pPr>
        <w:pStyle w:val="Default"/>
        <w:rPr>
          <w:rFonts w:eastAsia="Calibri"/>
        </w:rPr>
      </w:pPr>
    </w:p>
    <w:p w:rsidR="00FC0043" w:rsidRDefault="00FC0043" w:rsidP="009177DA">
      <w:pPr>
        <w:rPr>
          <w:rFonts w:eastAsia="Calibri"/>
        </w:rPr>
      </w:pPr>
      <w:r w:rsidRPr="00C2716F">
        <w:rPr>
          <w:rFonts w:eastAsia="Calibri"/>
        </w:rPr>
        <w:t>The</w:t>
      </w:r>
      <w:r>
        <w:rPr>
          <w:rFonts w:eastAsia="Calibri"/>
        </w:rPr>
        <w:t xml:space="preserve"> DA </w:t>
      </w:r>
      <w:r w:rsidR="00783014">
        <w:rPr>
          <w:rFonts w:eastAsia="Calibri"/>
        </w:rPr>
        <w:t xml:space="preserve">also referred to SSA numerous other cases for administrative action in a letter dated February 25, 2014 (Referral Letter).  In that letter, the DA explained to SSA the scheme coordinated by the individuals listed above “to fabricate a psychiatric disability” and obtain unauthorized benefits for numerous other individuals.  The Referral Letter identified for SSA the </w:t>
      </w:r>
      <w:r w:rsidR="00115327">
        <w:rPr>
          <w:rFonts w:eastAsia="Calibri"/>
        </w:rPr>
        <w:t>individual</w:t>
      </w:r>
      <w:r w:rsidR="00783014">
        <w:rPr>
          <w:rFonts w:eastAsia="Calibri"/>
        </w:rPr>
        <w:t xml:space="preserve"> cases at issue, all of which had Mr. Lavallee as an appointed representative and applications and allegations matching those at issue in the fraudulent scheme.  </w:t>
      </w:r>
      <w:r w:rsidR="009C6D7F">
        <w:rPr>
          <w:rFonts w:eastAsia="Calibri"/>
        </w:rPr>
        <w:t xml:space="preserve">This case is being redetermined because the beneficiary was among those referred by the DA.  Although the beneficiary has not been indicted for participating in the alleged scheme, the Referral Letter </w:t>
      </w:r>
      <w:r w:rsidR="00740E65">
        <w:rPr>
          <w:rFonts w:eastAsia="Calibri"/>
        </w:rPr>
        <w:t xml:space="preserve">and guilty pleas </w:t>
      </w:r>
      <w:r w:rsidR="00546443">
        <w:rPr>
          <w:rFonts w:eastAsia="Calibri"/>
        </w:rPr>
        <w:t xml:space="preserve">trigger SSA’s obligation </w:t>
      </w:r>
      <w:r w:rsidR="00F258C4">
        <w:rPr>
          <w:rFonts w:eastAsia="Calibri"/>
        </w:rPr>
        <w:t>under section 205(u) of the Act</w:t>
      </w:r>
      <w:r w:rsidR="009C6D7F">
        <w:rPr>
          <w:rFonts w:eastAsia="Calibri"/>
        </w:rPr>
        <w:t xml:space="preserve"> to redetermine this case and disregard </w:t>
      </w:r>
      <w:r w:rsidR="002618AB">
        <w:rPr>
          <w:rFonts w:eastAsia="Calibri"/>
        </w:rPr>
        <w:t xml:space="preserve">the </w:t>
      </w:r>
      <w:r w:rsidR="009C6D7F">
        <w:rPr>
          <w:rFonts w:eastAsia="Calibri"/>
        </w:rPr>
        <w:t>evidence</w:t>
      </w:r>
      <w:r w:rsidR="002618AB">
        <w:rPr>
          <w:rFonts w:eastAsia="Calibri"/>
        </w:rPr>
        <w:t xml:space="preserve"> identified below</w:t>
      </w:r>
      <w:r w:rsidR="009C6D7F">
        <w:rPr>
          <w:rFonts w:eastAsia="Calibri"/>
        </w:rPr>
        <w:t xml:space="preserve">.  </w:t>
      </w:r>
    </w:p>
    <w:p w:rsidR="00FC0043" w:rsidRDefault="00FC0043" w:rsidP="009177DA">
      <w:pPr>
        <w:rPr>
          <w:rFonts w:eastAsia="Calibri"/>
        </w:rPr>
      </w:pPr>
    </w:p>
    <w:p w:rsidR="00C2716F" w:rsidRDefault="003C4C5E" w:rsidP="00C2716F">
      <w:r>
        <w:rPr>
          <w:rFonts w:eastAsia="Calibri"/>
        </w:rPr>
        <w:t xml:space="preserve">In </w:t>
      </w:r>
      <w:r w:rsidR="00933571">
        <w:rPr>
          <w:rFonts w:eastAsia="Calibri"/>
        </w:rPr>
        <w:t>closed cases where an Administrative Law Judge</w:t>
      </w:r>
      <w:r w:rsidR="00E14887">
        <w:rPr>
          <w:rFonts w:eastAsia="Calibri"/>
        </w:rPr>
        <w:t xml:space="preserve"> </w:t>
      </w:r>
      <w:r>
        <w:rPr>
          <w:rFonts w:eastAsia="Calibri"/>
        </w:rPr>
        <w:t>issued a favorable decision</w:t>
      </w:r>
      <w:r w:rsidR="006620B7">
        <w:rPr>
          <w:rFonts w:eastAsia="Calibri"/>
        </w:rPr>
        <w:t xml:space="preserve"> that involved evidence from </w:t>
      </w:r>
      <w:r w:rsidR="00C2716F">
        <w:rPr>
          <w:rFonts w:eastAsia="Calibri"/>
        </w:rPr>
        <w:t xml:space="preserve">the </w:t>
      </w:r>
      <w:r w:rsidR="00943F2B">
        <w:rPr>
          <w:rFonts w:eastAsia="Calibri"/>
        </w:rPr>
        <w:t xml:space="preserve">convicted </w:t>
      </w:r>
      <w:r w:rsidR="00582EC9">
        <w:rPr>
          <w:rFonts w:eastAsia="Calibri"/>
        </w:rPr>
        <w:t>individuals</w:t>
      </w:r>
      <w:r w:rsidR="00C2716F">
        <w:rPr>
          <w:rFonts w:eastAsia="Calibri"/>
        </w:rPr>
        <w:t xml:space="preserve"> or other evidence</w:t>
      </w:r>
      <w:r w:rsidR="001965A8">
        <w:rPr>
          <w:rFonts w:eastAsia="Calibri"/>
        </w:rPr>
        <w:t xml:space="preserve"> submitted by those involved in the fraudulent scheme</w:t>
      </w:r>
      <w:r w:rsidR="006620B7">
        <w:rPr>
          <w:rFonts w:eastAsia="Calibri"/>
        </w:rPr>
        <w:t xml:space="preserve">, </w:t>
      </w:r>
      <w:r>
        <w:rPr>
          <w:rFonts w:eastAsia="Calibri"/>
        </w:rPr>
        <w:t xml:space="preserve">SSA will </w:t>
      </w:r>
      <w:r w:rsidR="006D6387">
        <w:rPr>
          <w:rFonts w:eastAsia="Calibri"/>
        </w:rPr>
        <w:t xml:space="preserve">determine whether the Administrative Law Judge’s </w:t>
      </w:r>
      <w:r w:rsidR="006D6387" w:rsidRPr="006D6387">
        <w:rPr>
          <w:rFonts w:eastAsia="Calibri"/>
        </w:rPr>
        <w:t>decision is supported</w:t>
      </w:r>
      <w:r w:rsidR="00CC21F6">
        <w:rPr>
          <w:rFonts w:eastAsia="Calibri"/>
          <w:i/>
        </w:rPr>
        <w:t xml:space="preserve"> </w:t>
      </w:r>
      <w:r w:rsidR="006D6387" w:rsidRPr="002618AB">
        <w:rPr>
          <w:rFonts w:eastAsia="Calibri"/>
        </w:rPr>
        <w:t xml:space="preserve">after </w:t>
      </w:r>
      <w:r w:rsidR="00943F2B" w:rsidRPr="002618AB">
        <w:rPr>
          <w:rFonts w:eastAsia="Calibri"/>
        </w:rPr>
        <w:t>disregar</w:t>
      </w:r>
      <w:r w:rsidR="006D6387" w:rsidRPr="002618AB">
        <w:rPr>
          <w:rFonts w:eastAsia="Calibri"/>
        </w:rPr>
        <w:t xml:space="preserve">ding </w:t>
      </w:r>
      <w:r w:rsidR="001965A8" w:rsidRPr="002618AB">
        <w:rPr>
          <w:rFonts w:eastAsia="Calibri"/>
        </w:rPr>
        <w:t xml:space="preserve">this </w:t>
      </w:r>
      <w:r w:rsidR="006D6387" w:rsidRPr="002618AB">
        <w:rPr>
          <w:rFonts w:eastAsia="Calibri"/>
        </w:rPr>
        <w:t>evidence.</w:t>
      </w:r>
      <w:r w:rsidR="006D6387" w:rsidRPr="006D6387">
        <w:rPr>
          <w:rFonts w:eastAsia="Calibri"/>
        </w:rPr>
        <w:t xml:space="preserve">  </w:t>
      </w:r>
      <w:r w:rsidR="00C2716F">
        <w:t>By law, SSA is not allowed to consider evidence from the following sources that is dated between January 1, 1988 and December 18, 2013:</w:t>
      </w:r>
    </w:p>
    <w:p w:rsidR="00C2716F" w:rsidRDefault="00C2716F" w:rsidP="00C2716F">
      <w:pPr>
        <w:pStyle w:val="ListParagraph"/>
        <w:numPr>
          <w:ilvl w:val="0"/>
          <w:numId w:val="4"/>
        </w:numPr>
      </w:pPr>
      <w:r>
        <w:t>A</w:t>
      </w:r>
      <w:r w:rsidRPr="008959FC">
        <w:t xml:space="preserve">ny evidence regarding a mental impairment </w:t>
      </w:r>
      <w:r>
        <w:t>submitted by one of the four named individuals;</w:t>
      </w:r>
    </w:p>
    <w:p w:rsidR="00C2716F" w:rsidRDefault="00C2716F" w:rsidP="00C2716F">
      <w:pPr>
        <w:pStyle w:val="ListParagraph"/>
        <w:numPr>
          <w:ilvl w:val="0"/>
          <w:numId w:val="4"/>
        </w:numPr>
      </w:pPr>
      <w:r>
        <w:t>Medical evidence from two psychiatrists identified by the DA as participating in the alleged scheme, Dr. Edward Sodaro and Dr. Raymond Pierre-Paul;</w:t>
      </w:r>
    </w:p>
    <w:p w:rsidR="00C2716F" w:rsidRDefault="00C2716F" w:rsidP="00C2716F">
      <w:pPr>
        <w:pStyle w:val="ListParagraph"/>
        <w:numPr>
          <w:ilvl w:val="0"/>
          <w:numId w:val="4"/>
        </w:numPr>
      </w:pPr>
      <w:r>
        <w:t>Evidence from you regarding a mental impairment that was diagnosed by Dr. Sodaro or Dr. Pierre-Paul</w:t>
      </w:r>
      <w:r w:rsidRPr="00A65976" w:rsidDel="001B11EA">
        <w:t xml:space="preserve"> </w:t>
      </w:r>
      <w:r>
        <w:t xml:space="preserve">(unless the impairment was independently diagnosed and otherwise substantiated by a medical source other than Dr. Sodaro or Dr. Pierre-Paul using evidence not associated with the fraudulent scheme); or </w:t>
      </w:r>
    </w:p>
    <w:p w:rsidR="00C2716F" w:rsidRDefault="00C2716F" w:rsidP="00080C98">
      <w:pPr>
        <w:pStyle w:val="ListParagraph"/>
        <w:numPr>
          <w:ilvl w:val="0"/>
          <w:numId w:val="4"/>
        </w:numPr>
      </w:pPr>
      <w:r>
        <w:rPr>
          <w:lang w:val="es-MX"/>
        </w:rPr>
        <w:t>O</w:t>
      </w:r>
      <w:r>
        <w:t>ther m</w:t>
      </w:r>
      <w:r w:rsidRPr="00A65976">
        <w:t xml:space="preserve">edical evidence </w:t>
      </w:r>
      <w:r>
        <w:t xml:space="preserve">that relies </w:t>
      </w:r>
      <w:r w:rsidRPr="00A65976">
        <w:t>on</w:t>
      </w:r>
      <w:r>
        <w:t xml:space="preserve"> evidence</w:t>
      </w:r>
      <w:r w:rsidR="00080C98" w:rsidRPr="00080C98">
        <w:t xml:space="preserve"> submitted by those involved in the fraudulent scheme</w:t>
      </w:r>
      <w:r>
        <w:t>, particularly your</w:t>
      </w:r>
      <w:r w:rsidRPr="00A65976">
        <w:t xml:space="preserve"> allegations regarding mental impairments in </w:t>
      </w:r>
      <w:r>
        <w:t>your</w:t>
      </w:r>
      <w:r w:rsidRPr="00A65976">
        <w:t xml:space="preserve"> original application, </w:t>
      </w:r>
      <w:r>
        <w:t xml:space="preserve">unless </w:t>
      </w:r>
      <w:r w:rsidRPr="00A65976">
        <w:t>the allegation</w:t>
      </w:r>
      <w:r>
        <w:t>s were independently diagnosed and are</w:t>
      </w:r>
      <w:r w:rsidRPr="00A65976">
        <w:t xml:space="preserve"> otherwise substantiated</w:t>
      </w:r>
      <w:r>
        <w:t xml:space="preserve"> by a medical source other than Dr. Sodaro or Dr. Pierre-Paul using evidence not associated with the fraudulent scheme.</w:t>
      </w:r>
    </w:p>
    <w:p w:rsidR="00C2716F" w:rsidRDefault="00C2716F" w:rsidP="009177DA">
      <w:pPr>
        <w:rPr>
          <w:rFonts w:eastAsia="Calibri"/>
        </w:rPr>
      </w:pPr>
    </w:p>
    <w:p w:rsidR="00933571" w:rsidRPr="006D6387" w:rsidRDefault="00C06B35" w:rsidP="009177DA">
      <w:pPr>
        <w:rPr>
          <w:bCs/>
        </w:rPr>
      </w:pPr>
      <w:r>
        <w:rPr>
          <w:rFonts w:eastAsia="Calibri"/>
        </w:rPr>
        <w:t>If the</w:t>
      </w:r>
      <w:r w:rsidR="00E2141F">
        <w:rPr>
          <w:rFonts w:eastAsia="Calibri"/>
        </w:rPr>
        <w:t xml:space="preserve"> </w:t>
      </w:r>
      <w:r w:rsidR="00582EC9">
        <w:rPr>
          <w:rFonts w:eastAsia="Calibri"/>
        </w:rPr>
        <w:t xml:space="preserve">Administrative Law Judge’s </w:t>
      </w:r>
      <w:r>
        <w:rPr>
          <w:rFonts w:eastAsia="Calibri"/>
        </w:rPr>
        <w:t xml:space="preserve">decision </w:t>
      </w:r>
      <w:r w:rsidR="002B0945">
        <w:rPr>
          <w:rFonts w:eastAsia="Calibri"/>
        </w:rPr>
        <w:t xml:space="preserve">dated [XXXXX] </w:t>
      </w:r>
      <w:r>
        <w:rPr>
          <w:rFonts w:eastAsia="Calibri"/>
        </w:rPr>
        <w:t xml:space="preserve">is not supported, </w:t>
      </w:r>
      <w:r w:rsidR="009177DA">
        <w:rPr>
          <w:rFonts w:eastAsia="Calibri"/>
        </w:rPr>
        <w:t>we will issue a new decision</w:t>
      </w:r>
      <w:r>
        <w:rPr>
          <w:rFonts w:eastAsia="Calibri"/>
        </w:rPr>
        <w:t>.</w:t>
      </w:r>
      <w:r w:rsidR="006D6387">
        <w:rPr>
          <w:rFonts w:eastAsia="Calibri"/>
        </w:rPr>
        <w:t xml:space="preserve">  </w:t>
      </w:r>
      <w:r w:rsidR="006D6387" w:rsidRPr="006D6387">
        <w:rPr>
          <w:bCs/>
        </w:rPr>
        <w:t xml:space="preserve"> </w:t>
      </w:r>
    </w:p>
    <w:p w:rsidR="005847E0" w:rsidRPr="006D6387" w:rsidRDefault="005847E0" w:rsidP="005847E0">
      <w:pPr>
        <w:pStyle w:val="StyleBoldUnderlineCentered"/>
        <w:rPr>
          <w:b w:val="0"/>
          <w:u w:val="none"/>
        </w:rPr>
      </w:pPr>
    </w:p>
    <w:p w:rsidR="006D6387" w:rsidRDefault="006D6387" w:rsidP="006D6387">
      <w:pPr>
        <w:pStyle w:val="StyleBoldUnderlineCentered"/>
        <w:keepNext/>
      </w:pPr>
      <w:r>
        <w:t>FINDINGS OF FACT AND CONCLUSIONS OF LAW</w:t>
      </w:r>
    </w:p>
    <w:p w:rsidR="006D6387" w:rsidRDefault="006D6387" w:rsidP="006D6387"/>
    <w:p w:rsidR="006D6387" w:rsidRDefault="006D6387" w:rsidP="006D6387">
      <w:r>
        <w:t>After careful consideration of the entire record, the undersigned makes the following findings:</w:t>
      </w:r>
    </w:p>
    <w:p w:rsidR="00E07EDB" w:rsidRDefault="00E07EDB" w:rsidP="00B16097"/>
    <w:p w:rsidR="006D6387" w:rsidRPr="005C5320" w:rsidRDefault="006D6387" w:rsidP="005C5320">
      <w:pPr>
        <w:pStyle w:val="ListParagraph"/>
        <w:numPr>
          <w:ilvl w:val="0"/>
          <w:numId w:val="2"/>
        </w:numPr>
        <w:ind w:left="0" w:firstLine="0"/>
        <w:rPr>
          <w:b/>
        </w:rPr>
      </w:pPr>
      <w:r w:rsidRPr="005C5320">
        <w:rPr>
          <w:b/>
        </w:rPr>
        <w:t xml:space="preserve"> </w:t>
      </w:r>
      <w:r w:rsidR="005C5320" w:rsidRPr="005C5320">
        <w:rPr>
          <w:b/>
        </w:rPr>
        <w:t>The case contains evidence from [</w:t>
      </w:r>
      <w:r w:rsidR="005C5320" w:rsidRPr="00E21AD2">
        <w:rPr>
          <w:b/>
          <w:highlight w:val="yellow"/>
        </w:rPr>
        <w:t>SOURCES</w:t>
      </w:r>
      <w:r w:rsidR="005C5320" w:rsidRPr="005C5320">
        <w:rPr>
          <w:b/>
        </w:rPr>
        <w:t>], which must be disregarded pursuant to section 205(u) of the Social Security Act.</w:t>
      </w:r>
      <w:r w:rsidR="00A8340D">
        <w:rPr>
          <w:b/>
        </w:rPr>
        <w:t xml:space="preserve">  </w:t>
      </w:r>
    </w:p>
    <w:p w:rsidR="005C5320" w:rsidRDefault="005C5320" w:rsidP="005C5320"/>
    <w:p w:rsidR="005C5320" w:rsidRDefault="005C5320" w:rsidP="005C5320">
      <w:r w:rsidRPr="00E21AD2">
        <w:rPr>
          <w:highlight w:val="yellow"/>
        </w:rPr>
        <w:t>[LIST SOURCES AND EXHIBIT NUMBERS</w:t>
      </w:r>
      <w:r w:rsidR="003F61C8">
        <w:rPr>
          <w:highlight w:val="yellow"/>
        </w:rPr>
        <w:t xml:space="preserve">. </w:t>
      </w:r>
      <w:r w:rsidR="009177DA">
        <w:rPr>
          <w:highlight w:val="yellow"/>
        </w:rPr>
        <w:t xml:space="preserve"> </w:t>
      </w:r>
      <w:r w:rsidR="003F61C8" w:rsidRPr="009177DA">
        <w:rPr>
          <w:highlight w:val="yellow"/>
        </w:rPr>
        <w:t xml:space="preserve">ALSO EXPLAIN IF DISREGARDING </w:t>
      </w:r>
      <w:r w:rsidR="009177DA">
        <w:rPr>
          <w:highlight w:val="yellow"/>
        </w:rPr>
        <w:t xml:space="preserve">BENEFICIARY </w:t>
      </w:r>
      <w:r w:rsidR="00D3591D">
        <w:rPr>
          <w:highlight w:val="yellow"/>
        </w:rPr>
        <w:t xml:space="preserve">ALLEGATIONS OF A MENTAL IMPAIRMENT DIAGNOSED BY A </w:t>
      </w:r>
      <w:r w:rsidR="00C2716F">
        <w:rPr>
          <w:highlight w:val="yellow"/>
        </w:rPr>
        <w:t>FRAUDULENT</w:t>
      </w:r>
      <w:r w:rsidR="00D3591D">
        <w:rPr>
          <w:highlight w:val="yellow"/>
        </w:rPr>
        <w:t xml:space="preserve"> SOURCE OR </w:t>
      </w:r>
      <w:r w:rsidR="009177DA">
        <w:rPr>
          <w:highlight w:val="yellow"/>
        </w:rPr>
        <w:t xml:space="preserve">OTHER MEDICAL </w:t>
      </w:r>
      <w:r w:rsidR="003F61C8" w:rsidRPr="009177DA">
        <w:rPr>
          <w:highlight w:val="yellow"/>
        </w:rPr>
        <w:t xml:space="preserve">EVIDENCE </w:t>
      </w:r>
      <w:r w:rsidR="00D3591D">
        <w:rPr>
          <w:highlight w:val="yellow"/>
        </w:rPr>
        <w:t xml:space="preserve">BASED IN WHOLE OR IN PART ON THE </w:t>
      </w:r>
      <w:r w:rsidR="009177DA">
        <w:rPr>
          <w:highlight w:val="yellow"/>
        </w:rPr>
        <w:t xml:space="preserve">BENEFICIARY’S </w:t>
      </w:r>
      <w:r w:rsidR="00D3591D">
        <w:rPr>
          <w:highlight w:val="yellow"/>
        </w:rPr>
        <w:t xml:space="preserve">SUBJECTIVE COMPLAINTS </w:t>
      </w:r>
      <w:r w:rsidR="00014AE7">
        <w:rPr>
          <w:highlight w:val="yellow"/>
        </w:rPr>
        <w:t xml:space="preserve">RELATED TO </w:t>
      </w:r>
      <w:r w:rsidR="00D3591D">
        <w:rPr>
          <w:highlight w:val="yellow"/>
        </w:rPr>
        <w:t xml:space="preserve">A </w:t>
      </w:r>
      <w:r w:rsidR="003F61C8" w:rsidRPr="009177DA">
        <w:rPr>
          <w:highlight w:val="yellow"/>
        </w:rPr>
        <w:t>MENTAL IMPAIRMENT</w:t>
      </w:r>
      <w:r w:rsidR="00D3591D">
        <w:rPr>
          <w:highlight w:val="yellow"/>
        </w:rPr>
        <w:t xml:space="preserve"> ALLEGED IN THE APPLICATION.</w:t>
      </w:r>
      <w:r w:rsidRPr="00E21AD2">
        <w:rPr>
          <w:highlight w:val="yellow"/>
        </w:rPr>
        <w:t>]</w:t>
      </w:r>
    </w:p>
    <w:p w:rsidR="005C5320" w:rsidRDefault="005C5320" w:rsidP="005C5320"/>
    <w:p w:rsidR="005C5320" w:rsidRPr="005C5320" w:rsidRDefault="005C5320" w:rsidP="005C5320">
      <w:pPr>
        <w:pStyle w:val="ListParagraph"/>
        <w:numPr>
          <w:ilvl w:val="0"/>
          <w:numId w:val="2"/>
        </w:numPr>
        <w:ind w:left="0" w:firstLine="0"/>
        <w:rPr>
          <w:b/>
        </w:rPr>
      </w:pPr>
      <w:r w:rsidRPr="005C5320">
        <w:rPr>
          <w:b/>
        </w:rPr>
        <w:t xml:space="preserve">The prior Administrative Law Judge decision found that the </w:t>
      </w:r>
      <w:r w:rsidR="001965A8">
        <w:rPr>
          <w:b/>
        </w:rPr>
        <w:t>beneficiary</w:t>
      </w:r>
      <w:r w:rsidR="001965A8" w:rsidRPr="005C5320">
        <w:rPr>
          <w:b/>
        </w:rPr>
        <w:t xml:space="preserve"> </w:t>
      </w:r>
      <w:r w:rsidRPr="005C5320">
        <w:rPr>
          <w:b/>
        </w:rPr>
        <w:t>was</w:t>
      </w:r>
      <w:r w:rsidR="002618AB">
        <w:rPr>
          <w:b/>
        </w:rPr>
        <w:t xml:space="preserve"> </w:t>
      </w:r>
      <w:r w:rsidRPr="005C5320">
        <w:rPr>
          <w:b/>
        </w:rPr>
        <w:t>disabled due to [REASON].</w:t>
      </w:r>
    </w:p>
    <w:p w:rsidR="005C5320" w:rsidRDefault="005C5320" w:rsidP="005C5320">
      <w:pPr>
        <w:pStyle w:val="ListParagraph"/>
        <w:ind w:left="0"/>
      </w:pPr>
    </w:p>
    <w:p w:rsidR="005C5320" w:rsidRDefault="005C5320" w:rsidP="005C5320">
      <w:pPr>
        <w:pStyle w:val="ListParagraph"/>
        <w:ind w:left="0"/>
      </w:pPr>
      <w:r w:rsidRPr="00E21AD2">
        <w:rPr>
          <w:highlight w:val="yellow"/>
        </w:rPr>
        <w:t>[EXPLAIN DISABLING RFC OR FINDING OF MET/EQUALS LISTING]</w:t>
      </w:r>
    </w:p>
    <w:p w:rsidR="005C5320" w:rsidRDefault="005C5320" w:rsidP="005C5320">
      <w:pPr>
        <w:pStyle w:val="ListParagraph"/>
        <w:ind w:left="0"/>
      </w:pPr>
    </w:p>
    <w:p w:rsidR="005C5320" w:rsidRDefault="005C5320" w:rsidP="005C5320">
      <w:pPr>
        <w:pStyle w:val="ListParagraph"/>
        <w:numPr>
          <w:ilvl w:val="0"/>
          <w:numId w:val="2"/>
        </w:numPr>
        <w:ind w:left="0" w:firstLine="0"/>
        <w:rPr>
          <w:b/>
        </w:rPr>
      </w:pPr>
      <w:r w:rsidRPr="005C5320">
        <w:rPr>
          <w:b/>
        </w:rPr>
        <w:t>After excluding the evidence</w:t>
      </w:r>
      <w:r w:rsidR="001965A8">
        <w:rPr>
          <w:b/>
        </w:rPr>
        <w:t xml:space="preserve"> submitted by those involved in the fraudulent scheme</w:t>
      </w:r>
      <w:r w:rsidRPr="005C5320">
        <w:rPr>
          <w:b/>
        </w:rPr>
        <w:t>, the undersigned finds that the decision is not supported</w:t>
      </w:r>
      <w:r w:rsidR="009177DA">
        <w:rPr>
          <w:b/>
        </w:rPr>
        <w:t>.</w:t>
      </w:r>
    </w:p>
    <w:p w:rsidR="005C5320" w:rsidRDefault="005C5320" w:rsidP="005C5320"/>
    <w:p w:rsidR="005C5320" w:rsidRDefault="005C5320" w:rsidP="005C5320">
      <w:r w:rsidRPr="00E21AD2">
        <w:rPr>
          <w:highlight w:val="yellow"/>
        </w:rPr>
        <w:t>[GIVE FULL EXPLANATION OF EVIDENCE THAT WAS RELIED UPON BY PRIOR ALJ AND WHY THE REMAINING NON-</w:t>
      </w:r>
      <w:r w:rsidR="0075335C">
        <w:rPr>
          <w:highlight w:val="yellow"/>
        </w:rPr>
        <w:t>FRAUDULENT</w:t>
      </w:r>
      <w:r w:rsidRPr="00E21AD2">
        <w:rPr>
          <w:highlight w:val="yellow"/>
        </w:rPr>
        <w:t xml:space="preserve"> EVIDENCE DOES NOT SUPPORT THE PRIOR DECISION]</w:t>
      </w:r>
    </w:p>
    <w:p w:rsidR="00E21AD2" w:rsidRDefault="00E21AD2" w:rsidP="005C5320"/>
    <w:p w:rsidR="005C5320" w:rsidRPr="005C5320" w:rsidRDefault="005C5320" w:rsidP="005C5320">
      <w:pPr>
        <w:pStyle w:val="ListParagraph"/>
        <w:numPr>
          <w:ilvl w:val="0"/>
          <w:numId w:val="2"/>
        </w:numPr>
        <w:ind w:left="0" w:firstLine="0"/>
        <w:rPr>
          <w:b/>
        </w:rPr>
      </w:pPr>
      <w:r w:rsidRPr="005C5320">
        <w:rPr>
          <w:rFonts w:eastAsia="Calibri"/>
          <w:b/>
        </w:rPr>
        <w:t>Because the decision is not supported</w:t>
      </w:r>
      <w:r w:rsidR="001965A8">
        <w:rPr>
          <w:rFonts w:eastAsia="Calibri"/>
          <w:b/>
        </w:rPr>
        <w:t xml:space="preserve"> by the remaining evidence in the record</w:t>
      </w:r>
      <w:r w:rsidRPr="005C5320">
        <w:rPr>
          <w:rFonts w:eastAsia="Calibri"/>
          <w:b/>
        </w:rPr>
        <w:t xml:space="preserve">, </w:t>
      </w:r>
      <w:r w:rsidR="00693181">
        <w:rPr>
          <w:rFonts w:eastAsia="Calibri"/>
          <w:b/>
        </w:rPr>
        <w:t>a new decision must be issued</w:t>
      </w:r>
      <w:r w:rsidRPr="005C5320">
        <w:rPr>
          <w:rFonts w:eastAsia="Calibri"/>
          <w:b/>
        </w:rPr>
        <w:t xml:space="preserve">. </w:t>
      </w:r>
    </w:p>
    <w:p w:rsidR="005C5320" w:rsidRPr="005C5320" w:rsidRDefault="005C5320" w:rsidP="005C5320">
      <w:pPr>
        <w:rPr>
          <w:b/>
        </w:rPr>
      </w:pPr>
    </w:p>
    <w:p w:rsidR="00E07EDB" w:rsidRPr="007E3831" w:rsidRDefault="00E07EDB" w:rsidP="00B16097"/>
    <w:p w:rsidR="00E07EDB" w:rsidRPr="007E3831" w:rsidRDefault="00E07EDB" w:rsidP="00B16097">
      <w:pPr>
        <w:keepNext/>
        <w:keepLines/>
      </w:pPr>
    </w:p>
    <w:tbl>
      <w:tblPr>
        <w:tblW w:w="9648" w:type="dxa"/>
        <w:tblLayout w:type="fixed"/>
        <w:tblLook w:val="0000" w:firstRow="0" w:lastRow="0" w:firstColumn="0" w:lastColumn="0" w:noHBand="0" w:noVBand="0"/>
      </w:tblPr>
      <w:tblGrid>
        <w:gridCol w:w="4878"/>
        <w:gridCol w:w="4770"/>
      </w:tblGrid>
      <w:tr w:rsidR="007E3831" w:rsidRPr="007E3831">
        <w:tc>
          <w:tcPr>
            <w:tcW w:w="4878" w:type="dxa"/>
          </w:tcPr>
          <w:p w:rsidR="00E07EDB" w:rsidRPr="007E3831" w:rsidRDefault="00E07EDB" w:rsidP="00B16097">
            <w:pPr>
              <w:keepNext/>
              <w:keepLines/>
              <w:rPr>
                <w:rFonts w:eastAsia="Calibri"/>
                <w:szCs w:val="22"/>
              </w:rPr>
            </w:pPr>
          </w:p>
        </w:tc>
        <w:tc>
          <w:tcPr>
            <w:tcW w:w="4770" w:type="dxa"/>
          </w:tcPr>
          <w:p w:rsidR="00E07EDB" w:rsidRPr="007E3831" w:rsidRDefault="00E07EDB" w:rsidP="00B16097">
            <w:pPr>
              <w:keepNext/>
              <w:keepLines/>
              <w:rPr>
                <w:rFonts w:eastAsia="Calibri"/>
                <w:szCs w:val="22"/>
              </w:rPr>
            </w:pPr>
            <w:bookmarkStart w:id="2" w:name="ALJSignDec"/>
            <w:bookmarkEnd w:id="2"/>
          </w:p>
        </w:tc>
      </w:tr>
      <w:tr w:rsidR="007E3831" w:rsidRPr="007E3831">
        <w:tc>
          <w:tcPr>
            <w:tcW w:w="4878" w:type="dxa"/>
          </w:tcPr>
          <w:p w:rsidR="00E07EDB" w:rsidRPr="007E3831" w:rsidRDefault="00E07EDB" w:rsidP="00B16097">
            <w:pPr>
              <w:keepNext/>
              <w:keepLines/>
              <w:rPr>
                <w:rFonts w:eastAsia="Calibri"/>
                <w:szCs w:val="22"/>
              </w:rPr>
            </w:pPr>
          </w:p>
        </w:tc>
        <w:tc>
          <w:tcPr>
            <w:tcW w:w="4770" w:type="dxa"/>
            <w:tcBorders>
              <w:top w:val="single" w:sz="4" w:space="0" w:color="auto"/>
            </w:tcBorders>
          </w:tcPr>
          <w:p w:rsidR="00E07EDB" w:rsidRPr="007E3831" w:rsidRDefault="002B6CBE" w:rsidP="00B16097">
            <w:pPr>
              <w:keepNext/>
              <w:keepLines/>
              <w:rPr>
                <w:rFonts w:eastAsia="Calibri"/>
                <w:szCs w:val="22"/>
              </w:rPr>
            </w:pPr>
            <w:r w:rsidRPr="007E3831">
              <w:rPr>
                <w:rFonts w:eastAsia="Calibri"/>
                <w:szCs w:val="22"/>
              </w:rPr>
              <w:t>Administrative Law Judge</w:t>
            </w:r>
          </w:p>
        </w:tc>
      </w:tr>
      <w:tr w:rsidR="007E3831" w:rsidRPr="007E3831">
        <w:tc>
          <w:tcPr>
            <w:tcW w:w="4878" w:type="dxa"/>
          </w:tcPr>
          <w:p w:rsidR="00E07EDB" w:rsidRPr="007E3831" w:rsidRDefault="00E07EDB" w:rsidP="00B16097">
            <w:pPr>
              <w:keepNext/>
              <w:keepLines/>
              <w:rPr>
                <w:rFonts w:eastAsia="Calibri"/>
                <w:szCs w:val="22"/>
              </w:rPr>
            </w:pPr>
          </w:p>
        </w:tc>
        <w:tc>
          <w:tcPr>
            <w:tcW w:w="4770" w:type="dxa"/>
          </w:tcPr>
          <w:p w:rsidR="00E07EDB" w:rsidRPr="007E3831" w:rsidRDefault="00E07EDB" w:rsidP="00B16097">
            <w:pPr>
              <w:keepNext/>
              <w:keepLines/>
              <w:tabs>
                <w:tab w:val="left" w:pos="245"/>
                <w:tab w:val="left" w:pos="1685"/>
              </w:tabs>
              <w:rPr>
                <w:rFonts w:eastAsia="Calibri"/>
                <w:szCs w:val="22"/>
              </w:rPr>
            </w:pPr>
          </w:p>
          <w:p w:rsidR="00E07EDB" w:rsidRPr="007E3831" w:rsidRDefault="00E07EDB" w:rsidP="00B16097">
            <w:pPr>
              <w:keepNext/>
              <w:keepLines/>
              <w:rPr>
                <w:rFonts w:eastAsia="Calibri"/>
                <w:szCs w:val="22"/>
              </w:rPr>
            </w:pPr>
          </w:p>
        </w:tc>
      </w:tr>
      <w:tr w:rsidR="007E3831" w:rsidRPr="007E3831">
        <w:tc>
          <w:tcPr>
            <w:tcW w:w="4878" w:type="dxa"/>
          </w:tcPr>
          <w:p w:rsidR="00E07EDB" w:rsidRPr="007E3831" w:rsidRDefault="00E07EDB" w:rsidP="00B16097">
            <w:pPr>
              <w:keepNext/>
              <w:keepLines/>
              <w:rPr>
                <w:rFonts w:eastAsia="Calibri"/>
                <w:szCs w:val="22"/>
              </w:rPr>
            </w:pPr>
          </w:p>
        </w:tc>
        <w:tc>
          <w:tcPr>
            <w:tcW w:w="4770" w:type="dxa"/>
          </w:tcPr>
          <w:p w:rsidR="00E07EDB" w:rsidRPr="007E3831" w:rsidRDefault="00E07EDB" w:rsidP="00B16097">
            <w:pPr>
              <w:keepNext/>
              <w:keepLines/>
              <w:rPr>
                <w:rFonts w:eastAsia="Calibri"/>
                <w:szCs w:val="22"/>
              </w:rPr>
            </w:pPr>
            <w:bookmarkStart w:id="3" w:name="ALJSignDateDec"/>
            <w:r w:rsidRPr="007E3831">
              <w:rPr>
                <w:rFonts w:eastAsia="Calibri"/>
                <w:szCs w:val="22"/>
              </w:rPr>
              <w:t xml:space="preserve"> </w:t>
            </w:r>
            <w:bookmarkEnd w:id="3"/>
          </w:p>
        </w:tc>
      </w:tr>
      <w:tr w:rsidR="00E07EDB" w:rsidRPr="007E3831">
        <w:tc>
          <w:tcPr>
            <w:tcW w:w="4878" w:type="dxa"/>
          </w:tcPr>
          <w:p w:rsidR="00E07EDB" w:rsidRPr="007E3831" w:rsidRDefault="00E07EDB" w:rsidP="00B16097">
            <w:pPr>
              <w:keepNext/>
              <w:keepLines/>
              <w:rPr>
                <w:rFonts w:eastAsia="Calibri"/>
                <w:szCs w:val="22"/>
              </w:rPr>
            </w:pPr>
          </w:p>
        </w:tc>
        <w:tc>
          <w:tcPr>
            <w:tcW w:w="4770" w:type="dxa"/>
            <w:tcBorders>
              <w:top w:val="single" w:sz="4" w:space="0" w:color="auto"/>
            </w:tcBorders>
          </w:tcPr>
          <w:p w:rsidR="00E07EDB" w:rsidRPr="007E3831" w:rsidRDefault="00E07EDB" w:rsidP="00B16097">
            <w:pPr>
              <w:keepNext/>
              <w:keepLines/>
              <w:rPr>
                <w:rFonts w:eastAsia="Calibri"/>
                <w:szCs w:val="22"/>
              </w:rPr>
            </w:pPr>
            <w:r w:rsidRPr="007E3831">
              <w:rPr>
                <w:rFonts w:eastAsia="Calibri"/>
                <w:szCs w:val="22"/>
              </w:rPr>
              <w:t>Date</w:t>
            </w:r>
          </w:p>
        </w:tc>
      </w:tr>
    </w:tbl>
    <w:p w:rsidR="00654CFC" w:rsidRPr="007E3831" w:rsidRDefault="00654CFC"/>
    <w:sectPr w:rsidR="00654CFC" w:rsidRPr="007E3831" w:rsidSect="00E07EDB">
      <w:headerReference w:type="default" r:id="rId16"/>
      <w:footerReference w:type="default" r:id="rId17"/>
      <w:headerReference w:type="first" r:id="rId18"/>
      <w:footerReference w:type="first" r:id="rId19"/>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1B" w:rsidRDefault="00D6191B">
      <w:r>
        <w:separator/>
      </w:r>
    </w:p>
  </w:endnote>
  <w:endnote w:type="continuationSeparator" w:id="0">
    <w:p w:rsidR="00D6191B" w:rsidRDefault="00D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166045">
      <w:rPr>
        <w:noProof/>
      </w:rPr>
      <w:instrText>2</w:instrText>
    </w:r>
    <w:r>
      <w:fldChar w:fldCharType="end"/>
    </w:r>
    <w:r>
      <w:instrText xml:space="preserve"> &lt;&gt; </w:instrText>
    </w:r>
    <w:r w:rsidR="00D6191B">
      <w:fldChar w:fldCharType="begin"/>
    </w:r>
    <w:r w:rsidR="00D6191B">
      <w:instrText xml:space="preserve"> SECTIONPAGES </w:instrText>
    </w:r>
    <w:r w:rsidR="00D6191B">
      <w:fldChar w:fldCharType="separate"/>
    </w:r>
    <w:r w:rsidR="00166045">
      <w:rPr>
        <w:noProof/>
      </w:rPr>
      <w:instrText>2</w:instrText>
    </w:r>
    <w:r w:rsidR="00D6191B">
      <w:rPr>
        <w:noProof/>
      </w:rPr>
      <w:fldChar w:fldCharType="end"/>
    </w:r>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166045">
      <w:rPr>
        <w:noProof/>
      </w:rPr>
      <w:instrText>1</w:instrText>
    </w:r>
    <w:r>
      <w:fldChar w:fldCharType="end"/>
    </w:r>
    <w:r>
      <w:instrText xml:space="preserve"> &lt;&gt; </w:instrText>
    </w:r>
    <w:r w:rsidR="00D6191B">
      <w:fldChar w:fldCharType="begin"/>
    </w:r>
    <w:r w:rsidR="00D6191B">
      <w:instrText xml:space="preserve"> SECTIONPAGES </w:instrText>
    </w:r>
    <w:r w:rsidR="00D6191B">
      <w:fldChar w:fldCharType="separate"/>
    </w:r>
    <w:r w:rsidR="00166045">
      <w:rPr>
        <w:noProof/>
      </w:rPr>
      <w:instrText>2</w:instrText>
    </w:r>
    <w:r w:rsidR="00D6191B">
      <w:rPr>
        <w:noProof/>
      </w:rPr>
      <w:fldChar w:fldCharType="end"/>
    </w:r>
    <w:r>
      <w:instrText xml:space="preserve"> "See Next Page" </w:instrText>
    </w:r>
    <w:r w:rsidR="00166045">
      <w:fldChar w:fldCharType="separate"/>
    </w:r>
    <w:r w:rsidR="00166045">
      <w:rPr>
        <w:noProof/>
      </w:rPr>
      <w:t>See Next Page</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166045">
      <w:rPr>
        <w:noProof/>
      </w:rPr>
      <w:instrText>3</w:instrText>
    </w:r>
    <w:r>
      <w:fldChar w:fldCharType="end"/>
    </w:r>
    <w:r>
      <w:instrText xml:space="preserve"> &lt;&gt; </w:instrText>
    </w:r>
    <w:r w:rsidR="00D6191B">
      <w:fldChar w:fldCharType="begin"/>
    </w:r>
    <w:r w:rsidR="00D6191B">
      <w:instrText xml:space="preserve"> SECTIONPAGES </w:instrText>
    </w:r>
    <w:r w:rsidR="00D6191B">
      <w:fldChar w:fldCharType="separate"/>
    </w:r>
    <w:r w:rsidR="00166045">
      <w:rPr>
        <w:noProof/>
      </w:rPr>
      <w:instrText>3</w:instrText>
    </w:r>
    <w:r w:rsidR="00D6191B">
      <w:rPr>
        <w:noProof/>
      </w:rPr>
      <w:fldChar w:fldCharType="end"/>
    </w:r>
    <w:r>
      <w:instrText xml:space="preserve"> "See Next Page" </w:instrTex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166045">
      <w:rPr>
        <w:noProof/>
      </w:rPr>
      <w:instrText>1</w:instrText>
    </w:r>
    <w:r>
      <w:fldChar w:fldCharType="end"/>
    </w:r>
    <w:r>
      <w:instrText xml:space="preserve"> &lt;&gt; </w:instrText>
    </w:r>
    <w:r w:rsidR="00D6191B">
      <w:fldChar w:fldCharType="begin"/>
    </w:r>
    <w:r w:rsidR="00D6191B">
      <w:instrText xml:space="preserve"> SECTIONPAGES </w:instrText>
    </w:r>
    <w:r w:rsidR="00D6191B">
      <w:fldChar w:fldCharType="separate"/>
    </w:r>
    <w:r w:rsidR="00166045">
      <w:rPr>
        <w:noProof/>
      </w:rPr>
      <w:instrText>3</w:instrText>
    </w:r>
    <w:r w:rsidR="00D6191B">
      <w:rPr>
        <w:noProof/>
      </w:rPr>
      <w:fldChar w:fldCharType="end"/>
    </w:r>
    <w:r>
      <w:instrText xml:space="preserve"> "See Next Page" </w:instrText>
    </w:r>
    <w:r w:rsidR="00166045">
      <w:fldChar w:fldCharType="separate"/>
    </w:r>
    <w:r w:rsidR="00166045">
      <w:rPr>
        <w:noProof/>
      </w:rPr>
      <w:t>See Next Page</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1B" w:rsidRDefault="00D6191B">
      <w:r>
        <w:separator/>
      </w:r>
    </w:p>
  </w:footnote>
  <w:footnote w:type="continuationSeparator" w:id="0">
    <w:p w:rsidR="00D6191B" w:rsidRDefault="00D619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Default="00E07EDB" w:rsidP="00E07EDB">
    <w:pPr>
      <w:pStyle w:val="Header"/>
      <w:tabs>
        <w:tab w:val="clear" w:pos="4320"/>
      </w:tabs>
    </w:pPr>
    <w:r>
      <w:t>1 1 (111-11-1111)</w:t>
    </w:r>
    <w:r>
      <w:tab/>
      <w:t xml:space="preserve">Page </w:t>
    </w:r>
    <w:r>
      <w:fldChar w:fldCharType="begin"/>
    </w:r>
    <w:r>
      <w:instrText xml:space="preserve"> PAGE </w:instrText>
    </w:r>
    <w:r>
      <w:fldChar w:fldCharType="separate"/>
    </w:r>
    <w:r w:rsidR="00166045">
      <w:rPr>
        <w:noProof/>
      </w:rPr>
      <w:t>2</w:t>
    </w:r>
    <w:r>
      <w:fldChar w:fldCharType="end"/>
    </w:r>
    <w:r>
      <w:t xml:space="preserve"> of </w:t>
    </w:r>
    <w:r w:rsidR="00D6191B">
      <w:fldChar w:fldCharType="begin"/>
    </w:r>
    <w:r w:rsidR="00D6191B">
      <w:instrText xml:space="preserve"> SECTIONPAGES </w:instrText>
    </w:r>
    <w:r w:rsidR="00D6191B">
      <w:fldChar w:fldCharType="separate"/>
    </w:r>
    <w:r w:rsidR="00166045">
      <w:rPr>
        <w:noProof/>
      </w:rPr>
      <w:t>2</w:t>
    </w:r>
    <w:r w:rsidR="00D6191B">
      <w:rPr>
        <w:noProof/>
      </w:rPr>
      <w:fldChar w:fldCharType="end"/>
    </w:r>
  </w:p>
  <w:p w:rsidR="00E07EDB" w:rsidRPr="00E07EDB" w:rsidRDefault="00E07EDB" w:rsidP="00E07EDB">
    <w:pPr>
      <w:pStyle w:val="Header"/>
      <w:tabs>
        <w:tab w:val="clear" w:pos="432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Default="00E07EDB" w:rsidP="00E07EDB">
    <w:pPr>
      <w:pStyle w:val="Header"/>
      <w:tabs>
        <w:tab w:val="clear" w:pos="4320"/>
      </w:tabs>
    </w:pPr>
    <w:r>
      <w:t>1 1 (111-11-1111)</w:t>
    </w:r>
    <w:r>
      <w:tab/>
      <w:t xml:space="preserve">Page </w:t>
    </w:r>
    <w:r>
      <w:fldChar w:fldCharType="begin"/>
    </w:r>
    <w:r>
      <w:instrText xml:space="preserve"> PAGE </w:instrText>
    </w:r>
    <w:r>
      <w:fldChar w:fldCharType="separate"/>
    </w:r>
    <w:r w:rsidR="00166045">
      <w:rPr>
        <w:noProof/>
      </w:rPr>
      <w:t>3</w:t>
    </w:r>
    <w:r>
      <w:fldChar w:fldCharType="end"/>
    </w:r>
    <w:r>
      <w:t xml:space="preserve"> of </w:t>
    </w:r>
    <w:r w:rsidR="00D6191B">
      <w:fldChar w:fldCharType="begin"/>
    </w:r>
    <w:r w:rsidR="00D6191B">
      <w:instrText xml:space="preserve"> SECTIONPAGES </w:instrText>
    </w:r>
    <w:r w:rsidR="00D6191B">
      <w:fldChar w:fldCharType="separate"/>
    </w:r>
    <w:r w:rsidR="00166045">
      <w:rPr>
        <w:noProof/>
      </w:rPr>
      <w:t>3</w:t>
    </w:r>
    <w:r w:rsidR="00D6191B">
      <w:rPr>
        <w:noProof/>
      </w:rPr>
      <w:fldChar w:fldCharType="end"/>
    </w:r>
  </w:p>
  <w:p w:rsidR="00E07EDB" w:rsidRPr="00E07EDB" w:rsidRDefault="00E07EDB" w:rsidP="00E07EDB">
    <w:pPr>
      <w:pStyle w:val="Header"/>
      <w:tabs>
        <w:tab w:val="clear" w:pos="432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A14E0"/>
    <w:multiLevelType w:val="hybridMultilevel"/>
    <w:tmpl w:val="88D4D3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1733"/>
    <w:rsid w:val="000024E6"/>
    <w:rsid w:val="00006CA9"/>
    <w:rsid w:val="00014AE7"/>
    <w:rsid w:val="000152A8"/>
    <w:rsid w:val="00016949"/>
    <w:rsid w:val="00022D05"/>
    <w:rsid w:val="0003004A"/>
    <w:rsid w:val="00035DC4"/>
    <w:rsid w:val="00042F20"/>
    <w:rsid w:val="00043516"/>
    <w:rsid w:val="00046612"/>
    <w:rsid w:val="00050D3A"/>
    <w:rsid w:val="0005119B"/>
    <w:rsid w:val="00054406"/>
    <w:rsid w:val="00064B34"/>
    <w:rsid w:val="0007673A"/>
    <w:rsid w:val="00080C98"/>
    <w:rsid w:val="00094AD2"/>
    <w:rsid w:val="000A3628"/>
    <w:rsid w:val="000A3764"/>
    <w:rsid w:val="000A5BEA"/>
    <w:rsid w:val="000B01CF"/>
    <w:rsid w:val="000B4C70"/>
    <w:rsid w:val="000C57AF"/>
    <w:rsid w:val="000D101E"/>
    <w:rsid w:val="000D274E"/>
    <w:rsid w:val="000D280F"/>
    <w:rsid w:val="000D7DF2"/>
    <w:rsid w:val="000E520F"/>
    <w:rsid w:val="000F1576"/>
    <w:rsid w:val="000F51E6"/>
    <w:rsid w:val="00104ED0"/>
    <w:rsid w:val="00111807"/>
    <w:rsid w:val="00111C18"/>
    <w:rsid w:val="00115327"/>
    <w:rsid w:val="0011670E"/>
    <w:rsid w:val="00125ACF"/>
    <w:rsid w:val="0012637D"/>
    <w:rsid w:val="00132810"/>
    <w:rsid w:val="0013538D"/>
    <w:rsid w:val="0014332A"/>
    <w:rsid w:val="00144181"/>
    <w:rsid w:val="00145FB9"/>
    <w:rsid w:val="00146675"/>
    <w:rsid w:val="00150B75"/>
    <w:rsid w:val="0015481F"/>
    <w:rsid w:val="00161B78"/>
    <w:rsid w:val="00164E0F"/>
    <w:rsid w:val="00165563"/>
    <w:rsid w:val="00166045"/>
    <w:rsid w:val="00180452"/>
    <w:rsid w:val="001965A8"/>
    <w:rsid w:val="00197F39"/>
    <w:rsid w:val="001C074F"/>
    <w:rsid w:val="001C16E5"/>
    <w:rsid w:val="001C257A"/>
    <w:rsid w:val="001D6186"/>
    <w:rsid w:val="001F2882"/>
    <w:rsid w:val="001F7EE9"/>
    <w:rsid w:val="00214809"/>
    <w:rsid w:val="0022127C"/>
    <w:rsid w:val="002314CF"/>
    <w:rsid w:val="00231D31"/>
    <w:rsid w:val="002329FC"/>
    <w:rsid w:val="00237E7E"/>
    <w:rsid w:val="002405FC"/>
    <w:rsid w:val="00246110"/>
    <w:rsid w:val="00250762"/>
    <w:rsid w:val="00251D25"/>
    <w:rsid w:val="00254150"/>
    <w:rsid w:val="0026015F"/>
    <w:rsid w:val="002618AB"/>
    <w:rsid w:val="00265531"/>
    <w:rsid w:val="00266A7E"/>
    <w:rsid w:val="00266E64"/>
    <w:rsid w:val="002710CF"/>
    <w:rsid w:val="00271117"/>
    <w:rsid w:val="002802A7"/>
    <w:rsid w:val="00283628"/>
    <w:rsid w:val="00285142"/>
    <w:rsid w:val="00287909"/>
    <w:rsid w:val="00292153"/>
    <w:rsid w:val="002A0049"/>
    <w:rsid w:val="002A22A0"/>
    <w:rsid w:val="002A56B6"/>
    <w:rsid w:val="002B0945"/>
    <w:rsid w:val="002B3955"/>
    <w:rsid w:val="002B6CBE"/>
    <w:rsid w:val="002C195D"/>
    <w:rsid w:val="002C7DAB"/>
    <w:rsid w:val="002D1113"/>
    <w:rsid w:val="002D174E"/>
    <w:rsid w:val="002D5396"/>
    <w:rsid w:val="002D5C6F"/>
    <w:rsid w:val="002F6321"/>
    <w:rsid w:val="002F6A53"/>
    <w:rsid w:val="00300E88"/>
    <w:rsid w:val="00305147"/>
    <w:rsid w:val="00305B5E"/>
    <w:rsid w:val="00305E5F"/>
    <w:rsid w:val="00307C69"/>
    <w:rsid w:val="0031089A"/>
    <w:rsid w:val="00322BEB"/>
    <w:rsid w:val="00330CC8"/>
    <w:rsid w:val="0033622C"/>
    <w:rsid w:val="00341AB7"/>
    <w:rsid w:val="00354A07"/>
    <w:rsid w:val="00367E34"/>
    <w:rsid w:val="003702A7"/>
    <w:rsid w:val="00370348"/>
    <w:rsid w:val="00373212"/>
    <w:rsid w:val="003733AC"/>
    <w:rsid w:val="003777D9"/>
    <w:rsid w:val="0038045A"/>
    <w:rsid w:val="00381F9F"/>
    <w:rsid w:val="00385162"/>
    <w:rsid w:val="00385DCC"/>
    <w:rsid w:val="003A20EE"/>
    <w:rsid w:val="003A67BA"/>
    <w:rsid w:val="003A6C76"/>
    <w:rsid w:val="003A70E0"/>
    <w:rsid w:val="003B35CF"/>
    <w:rsid w:val="003B77E6"/>
    <w:rsid w:val="003C4C5E"/>
    <w:rsid w:val="003C545C"/>
    <w:rsid w:val="003D1732"/>
    <w:rsid w:val="003E28AE"/>
    <w:rsid w:val="003F1867"/>
    <w:rsid w:val="003F34F1"/>
    <w:rsid w:val="003F61C8"/>
    <w:rsid w:val="003F6A90"/>
    <w:rsid w:val="00405D1B"/>
    <w:rsid w:val="00406D7C"/>
    <w:rsid w:val="00416B5B"/>
    <w:rsid w:val="004173F9"/>
    <w:rsid w:val="004221B8"/>
    <w:rsid w:val="004264EF"/>
    <w:rsid w:val="00433FBB"/>
    <w:rsid w:val="00435EB0"/>
    <w:rsid w:val="00436D40"/>
    <w:rsid w:val="00440705"/>
    <w:rsid w:val="004429F0"/>
    <w:rsid w:val="00450E99"/>
    <w:rsid w:val="00451957"/>
    <w:rsid w:val="00454303"/>
    <w:rsid w:val="004625B1"/>
    <w:rsid w:val="004655A8"/>
    <w:rsid w:val="00466100"/>
    <w:rsid w:val="00471A66"/>
    <w:rsid w:val="00473FAC"/>
    <w:rsid w:val="0047580E"/>
    <w:rsid w:val="00476AF1"/>
    <w:rsid w:val="004A3910"/>
    <w:rsid w:val="004A5BD2"/>
    <w:rsid w:val="004D2090"/>
    <w:rsid w:val="004D2252"/>
    <w:rsid w:val="004D6327"/>
    <w:rsid w:val="004E1AC7"/>
    <w:rsid w:val="004F1A00"/>
    <w:rsid w:val="004F46DB"/>
    <w:rsid w:val="00507609"/>
    <w:rsid w:val="005109A5"/>
    <w:rsid w:val="00527187"/>
    <w:rsid w:val="00537EF6"/>
    <w:rsid w:val="00540823"/>
    <w:rsid w:val="00546443"/>
    <w:rsid w:val="00553323"/>
    <w:rsid w:val="00554DE3"/>
    <w:rsid w:val="005552BF"/>
    <w:rsid w:val="0055705C"/>
    <w:rsid w:val="0056305A"/>
    <w:rsid w:val="005652A8"/>
    <w:rsid w:val="00576D76"/>
    <w:rsid w:val="00582EC9"/>
    <w:rsid w:val="00584655"/>
    <w:rsid w:val="005847E0"/>
    <w:rsid w:val="00586424"/>
    <w:rsid w:val="00591F79"/>
    <w:rsid w:val="00595572"/>
    <w:rsid w:val="005A2EB2"/>
    <w:rsid w:val="005A536B"/>
    <w:rsid w:val="005B2DFD"/>
    <w:rsid w:val="005B3972"/>
    <w:rsid w:val="005B3E3D"/>
    <w:rsid w:val="005B43F9"/>
    <w:rsid w:val="005B6800"/>
    <w:rsid w:val="005B6FE4"/>
    <w:rsid w:val="005C172C"/>
    <w:rsid w:val="005C2DAD"/>
    <w:rsid w:val="005C5320"/>
    <w:rsid w:val="005C7EDC"/>
    <w:rsid w:val="005D2328"/>
    <w:rsid w:val="005D2AAF"/>
    <w:rsid w:val="005D5925"/>
    <w:rsid w:val="005E4692"/>
    <w:rsid w:val="005E568A"/>
    <w:rsid w:val="005E682B"/>
    <w:rsid w:val="005F5370"/>
    <w:rsid w:val="0060123A"/>
    <w:rsid w:val="00615B72"/>
    <w:rsid w:val="006250F9"/>
    <w:rsid w:val="00625793"/>
    <w:rsid w:val="00627483"/>
    <w:rsid w:val="00635B34"/>
    <w:rsid w:val="006401D0"/>
    <w:rsid w:val="00645133"/>
    <w:rsid w:val="00645F10"/>
    <w:rsid w:val="00654CFC"/>
    <w:rsid w:val="006620B7"/>
    <w:rsid w:val="0067230B"/>
    <w:rsid w:val="0067273E"/>
    <w:rsid w:val="00687146"/>
    <w:rsid w:val="00693181"/>
    <w:rsid w:val="00693539"/>
    <w:rsid w:val="006953C0"/>
    <w:rsid w:val="006A2290"/>
    <w:rsid w:val="006B0324"/>
    <w:rsid w:val="006B0EA1"/>
    <w:rsid w:val="006C0442"/>
    <w:rsid w:val="006C62CA"/>
    <w:rsid w:val="006D30BA"/>
    <w:rsid w:val="006D6387"/>
    <w:rsid w:val="006D6BAF"/>
    <w:rsid w:val="006D6FB3"/>
    <w:rsid w:val="006E0558"/>
    <w:rsid w:val="006E19B7"/>
    <w:rsid w:val="006E40ED"/>
    <w:rsid w:val="006F1F0C"/>
    <w:rsid w:val="006F4DAE"/>
    <w:rsid w:val="006F50AD"/>
    <w:rsid w:val="006F610B"/>
    <w:rsid w:val="00722F03"/>
    <w:rsid w:val="00724A84"/>
    <w:rsid w:val="00731C59"/>
    <w:rsid w:val="00732D23"/>
    <w:rsid w:val="00740E65"/>
    <w:rsid w:val="0074198F"/>
    <w:rsid w:val="0075022C"/>
    <w:rsid w:val="00751A94"/>
    <w:rsid w:val="0075335C"/>
    <w:rsid w:val="007542D3"/>
    <w:rsid w:val="0075525B"/>
    <w:rsid w:val="007607D6"/>
    <w:rsid w:val="00777661"/>
    <w:rsid w:val="007808B6"/>
    <w:rsid w:val="007825FE"/>
    <w:rsid w:val="00783014"/>
    <w:rsid w:val="0078698A"/>
    <w:rsid w:val="00797C21"/>
    <w:rsid w:val="007B144A"/>
    <w:rsid w:val="007B35F6"/>
    <w:rsid w:val="007C3149"/>
    <w:rsid w:val="007D1109"/>
    <w:rsid w:val="007D1B89"/>
    <w:rsid w:val="007D2598"/>
    <w:rsid w:val="007D51B2"/>
    <w:rsid w:val="007D5EBF"/>
    <w:rsid w:val="007D60C9"/>
    <w:rsid w:val="007D6B45"/>
    <w:rsid w:val="007E3831"/>
    <w:rsid w:val="007F1CBD"/>
    <w:rsid w:val="008149DA"/>
    <w:rsid w:val="0082179E"/>
    <w:rsid w:val="00821D37"/>
    <w:rsid w:val="0082449E"/>
    <w:rsid w:val="00830346"/>
    <w:rsid w:val="0083146F"/>
    <w:rsid w:val="00834C1E"/>
    <w:rsid w:val="008415E8"/>
    <w:rsid w:val="008449E7"/>
    <w:rsid w:val="00851D86"/>
    <w:rsid w:val="008522A8"/>
    <w:rsid w:val="00852431"/>
    <w:rsid w:val="008527D3"/>
    <w:rsid w:val="00853ABF"/>
    <w:rsid w:val="008719A5"/>
    <w:rsid w:val="0088533E"/>
    <w:rsid w:val="00896961"/>
    <w:rsid w:val="008C3842"/>
    <w:rsid w:val="008C6A39"/>
    <w:rsid w:val="008D05DC"/>
    <w:rsid w:val="008D1C41"/>
    <w:rsid w:val="008D21F0"/>
    <w:rsid w:val="008D3612"/>
    <w:rsid w:val="008E2855"/>
    <w:rsid w:val="008E37D6"/>
    <w:rsid w:val="008E3A3C"/>
    <w:rsid w:val="008E7C86"/>
    <w:rsid w:val="008F50A9"/>
    <w:rsid w:val="00901989"/>
    <w:rsid w:val="009177DA"/>
    <w:rsid w:val="0092487D"/>
    <w:rsid w:val="00933571"/>
    <w:rsid w:val="009425B4"/>
    <w:rsid w:val="00943F2B"/>
    <w:rsid w:val="00944CCA"/>
    <w:rsid w:val="00944EBA"/>
    <w:rsid w:val="00950576"/>
    <w:rsid w:val="00982879"/>
    <w:rsid w:val="009831E4"/>
    <w:rsid w:val="009840CC"/>
    <w:rsid w:val="00986394"/>
    <w:rsid w:val="00992607"/>
    <w:rsid w:val="009A4022"/>
    <w:rsid w:val="009B0579"/>
    <w:rsid w:val="009B1327"/>
    <w:rsid w:val="009B17C1"/>
    <w:rsid w:val="009B56E4"/>
    <w:rsid w:val="009C6D7F"/>
    <w:rsid w:val="009D1D4E"/>
    <w:rsid w:val="009D71D0"/>
    <w:rsid w:val="009F3FF9"/>
    <w:rsid w:val="00A05303"/>
    <w:rsid w:val="00A14C83"/>
    <w:rsid w:val="00A235E7"/>
    <w:rsid w:val="00A2435B"/>
    <w:rsid w:val="00A2459D"/>
    <w:rsid w:val="00A300D7"/>
    <w:rsid w:val="00A35CC3"/>
    <w:rsid w:val="00A36FA3"/>
    <w:rsid w:val="00A46A96"/>
    <w:rsid w:val="00A51FED"/>
    <w:rsid w:val="00A57489"/>
    <w:rsid w:val="00A6147E"/>
    <w:rsid w:val="00A630BC"/>
    <w:rsid w:val="00A63332"/>
    <w:rsid w:val="00A75AF7"/>
    <w:rsid w:val="00A833AB"/>
    <w:rsid w:val="00A8340D"/>
    <w:rsid w:val="00A836ED"/>
    <w:rsid w:val="00AA7314"/>
    <w:rsid w:val="00AB0304"/>
    <w:rsid w:val="00AB0511"/>
    <w:rsid w:val="00AB0D43"/>
    <w:rsid w:val="00AB21FD"/>
    <w:rsid w:val="00AB4A83"/>
    <w:rsid w:val="00AB592B"/>
    <w:rsid w:val="00AC70F9"/>
    <w:rsid w:val="00AD321B"/>
    <w:rsid w:val="00AE31DA"/>
    <w:rsid w:val="00AE3FBB"/>
    <w:rsid w:val="00AE5379"/>
    <w:rsid w:val="00AF0AB5"/>
    <w:rsid w:val="00AF1074"/>
    <w:rsid w:val="00AF1D23"/>
    <w:rsid w:val="00B048D6"/>
    <w:rsid w:val="00B05016"/>
    <w:rsid w:val="00B05795"/>
    <w:rsid w:val="00B05826"/>
    <w:rsid w:val="00B07486"/>
    <w:rsid w:val="00B127E9"/>
    <w:rsid w:val="00B176CF"/>
    <w:rsid w:val="00B23C69"/>
    <w:rsid w:val="00B252AE"/>
    <w:rsid w:val="00B27865"/>
    <w:rsid w:val="00B45C62"/>
    <w:rsid w:val="00B46E27"/>
    <w:rsid w:val="00B519AD"/>
    <w:rsid w:val="00B5338E"/>
    <w:rsid w:val="00B56E76"/>
    <w:rsid w:val="00B6016C"/>
    <w:rsid w:val="00B62C88"/>
    <w:rsid w:val="00B64F2A"/>
    <w:rsid w:val="00B76C3D"/>
    <w:rsid w:val="00B865E1"/>
    <w:rsid w:val="00B86654"/>
    <w:rsid w:val="00B96587"/>
    <w:rsid w:val="00BA4359"/>
    <w:rsid w:val="00BB385F"/>
    <w:rsid w:val="00BC26AD"/>
    <w:rsid w:val="00BD3A42"/>
    <w:rsid w:val="00BE5E0D"/>
    <w:rsid w:val="00BF2FB7"/>
    <w:rsid w:val="00C032CB"/>
    <w:rsid w:val="00C04104"/>
    <w:rsid w:val="00C06B35"/>
    <w:rsid w:val="00C134A6"/>
    <w:rsid w:val="00C15F04"/>
    <w:rsid w:val="00C26E5A"/>
    <w:rsid w:val="00C2716F"/>
    <w:rsid w:val="00C32F05"/>
    <w:rsid w:val="00C36897"/>
    <w:rsid w:val="00C50C04"/>
    <w:rsid w:val="00C5306D"/>
    <w:rsid w:val="00C53E37"/>
    <w:rsid w:val="00C54962"/>
    <w:rsid w:val="00C60AE2"/>
    <w:rsid w:val="00C60F7B"/>
    <w:rsid w:val="00C65014"/>
    <w:rsid w:val="00C72F7A"/>
    <w:rsid w:val="00C74476"/>
    <w:rsid w:val="00C74EAB"/>
    <w:rsid w:val="00C82426"/>
    <w:rsid w:val="00C84530"/>
    <w:rsid w:val="00C8661D"/>
    <w:rsid w:val="00C923CA"/>
    <w:rsid w:val="00C92D35"/>
    <w:rsid w:val="00C95AEC"/>
    <w:rsid w:val="00C96886"/>
    <w:rsid w:val="00CB034D"/>
    <w:rsid w:val="00CB1578"/>
    <w:rsid w:val="00CC21F6"/>
    <w:rsid w:val="00CC28A1"/>
    <w:rsid w:val="00CC59A1"/>
    <w:rsid w:val="00CC5B19"/>
    <w:rsid w:val="00CD2269"/>
    <w:rsid w:val="00CE003F"/>
    <w:rsid w:val="00CE2103"/>
    <w:rsid w:val="00CE4A48"/>
    <w:rsid w:val="00CE4C4F"/>
    <w:rsid w:val="00CF1CFB"/>
    <w:rsid w:val="00CF2F12"/>
    <w:rsid w:val="00CF5F07"/>
    <w:rsid w:val="00CF64D4"/>
    <w:rsid w:val="00D1131B"/>
    <w:rsid w:val="00D16154"/>
    <w:rsid w:val="00D213B9"/>
    <w:rsid w:val="00D25420"/>
    <w:rsid w:val="00D26D9C"/>
    <w:rsid w:val="00D3392E"/>
    <w:rsid w:val="00D33A04"/>
    <w:rsid w:val="00D3591D"/>
    <w:rsid w:val="00D44C16"/>
    <w:rsid w:val="00D46FCB"/>
    <w:rsid w:val="00D6191B"/>
    <w:rsid w:val="00D647D3"/>
    <w:rsid w:val="00D7036B"/>
    <w:rsid w:val="00D7511D"/>
    <w:rsid w:val="00D86674"/>
    <w:rsid w:val="00D875FD"/>
    <w:rsid w:val="00D931A5"/>
    <w:rsid w:val="00D93FDE"/>
    <w:rsid w:val="00D955EA"/>
    <w:rsid w:val="00D95FA9"/>
    <w:rsid w:val="00DA3F5D"/>
    <w:rsid w:val="00DC1650"/>
    <w:rsid w:val="00DC436C"/>
    <w:rsid w:val="00DD0191"/>
    <w:rsid w:val="00DE0FCA"/>
    <w:rsid w:val="00DE14F1"/>
    <w:rsid w:val="00DE1E2A"/>
    <w:rsid w:val="00DE51CF"/>
    <w:rsid w:val="00E07EDB"/>
    <w:rsid w:val="00E11854"/>
    <w:rsid w:val="00E14887"/>
    <w:rsid w:val="00E14E66"/>
    <w:rsid w:val="00E21100"/>
    <w:rsid w:val="00E2141F"/>
    <w:rsid w:val="00E21AD2"/>
    <w:rsid w:val="00E327B2"/>
    <w:rsid w:val="00E420EB"/>
    <w:rsid w:val="00E441C3"/>
    <w:rsid w:val="00E4560F"/>
    <w:rsid w:val="00E55140"/>
    <w:rsid w:val="00E56C47"/>
    <w:rsid w:val="00E62FAE"/>
    <w:rsid w:val="00E64083"/>
    <w:rsid w:val="00E658E2"/>
    <w:rsid w:val="00E679D7"/>
    <w:rsid w:val="00E701E3"/>
    <w:rsid w:val="00E72A97"/>
    <w:rsid w:val="00E9130E"/>
    <w:rsid w:val="00EA0A41"/>
    <w:rsid w:val="00EA2980"/>
    <w:rsid w:val="00EA39C3"/>
    <w:rsid w:val="00EA39D2"/>
    <w:rsid w:val="00EB3863"/>
    <w:rsid w:val="00EB7DA0"/>
    <w:rsid w:val="00EC050A"/>
    <w:rsid w:val="00EC7E3A"/>
    <w:rsid w:val="00ED32E1"/>
    <w:rsid w:val="00ED5D42"/>
    <w:rsid w:val="00EE25F6"/>
    <w:rsid w:val="00EE6A68"/>
    <w:rsid w:val="00EE7859"/>
    <w:rsid w:val="00EE7FE0"/>
    <w:rsid w:val="00EF494B"/>
    <w:rsid w:val="00F12E84"/>
    <w:rsid w:val="00F14250"/>
    <w:rsid w:val="00F23852"/>
    <w:rsid w:val="00F258C4"/>
    <w:rsid w:val="00F33A36"/>
    <w:rsid w:val="00F3582D"/>
    <w:rsid w:val="00F37A43"/>
    <w:rsid w:val="00F43BBF"/>
    <w:rsid w:val="00F51CC3"/>
    <w:rsid w:val="00F66711"/>
    <w:rsid w:val="00F74F60"/>
    <w:rsid w:val="00F837A5"/>
    <w:rsid w:val="00F924C9"/>
    <w:rsid w:val="00F9294B"/>
    <w:rsid w:val="00F94F6D"/>
    <w:rsid w:val="00FA0CCE"/>
    <w:rsid w:val="00FA5253"/>
    <w:rsid w:val="00FC0043"/>
    <w:rsid w:val="00FC2A8D"/>
    <w:rsid w:val="00FC58EE"/>
    <w:rsid w:val="00FD14F8"/>
    <w:rsid w:val="00FE311B"/>
    <w:rsid w:val="00FE437E"/>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EC457E-7C7A-4EF3-99CF-3114BE7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S2QMMTEFQ2T6-510-8830</_dlc_DocId>
    <_dlc_DocIdUrl xmlns="6b8844f4-777b-459a-9ee0-0ef0e50e9cee">
      <Url>http://sharepoint.ba.ssa.gov/odar/hq/oao/_layouts/DocIdRedir.aspx?ID=S2QMMTEFQ2T6-510-8830</Url>
      <Description>S2QMMTEFQ2T6-510-8830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1" ma:contentTypeDescription="Create a new document." ma:contentTypeScope="" ma:versionID="c53c53c63a1d9ac5015d229d98296f71">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7055-C45C-4EB0-97CE-FD9B950059F1}">
  <ds:schemaRefs>
    <ds:schemaRef ds:uri="http://schemas.microsoft.com/sharepoint/events"/>
  </ds:schemaRefs>
</ds:datastoreItem>
</file>

<file path=customXml/itemProps2.xml><?xml version="1.0" encoding="utf-8"?>
<ds:datastoreItem xmlns:ds="http://schemas.openxmlformats.org/officeDocument/2006/customXml" ds:itemID="{D776E90F-1F25-413F-B6CA-15FE78A0F5A2}">
  <ds:schemaRefs>
    <ds:schemaRef ds:uri="http://schemas.microsoft.com/sharepoint/v3/contenttype/forms"/>
  </ds:schemaRefs>
</ds:datastoreItem>
</file>

<file path=customXml/itemProps3.xml><?xml version="1.0" encoding="utf-8"?>
<ds:datastoreItem xmlns:ds="http://schemas.openxmlformats.org/officeDocument/2006/customXml" ds:itemID="{039A002F-55BA-4C9F-BC43-D19677C948FF}">
  <ds:schemaRefs>
    <ds:schemaRef ds:uri="http://schemas.microsoft.com/office/2006/metadata/properties"/>
    <ds:schemaRef ds:uri="http://schemas.microsoft.com/office/infopath/2007/PartnerControls"/>
    <ds:schemaRef ds:uri="6b8844f4-777b-459a-9ee0-0ef0e50e9cee"/>
  </ds:schemaRefs>
</ds:datastoreItem>
</file>

<file path=customXml/itemProps4.xml><?xml version="1.0" encoding="utf-8"?>
<ds:datastoreItem xmlns:ds="http://schemas.openxmlformats.org/officeDocument/2006/customXml" ds:itemID="{7F583607-A89A-434B-A7E9-262D480EC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2D4528-F603-444A-B311-A37B7967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FIT Decisional Shell.dot</Template>
  <TotalTime>0</TotalTime>
  <Pages>1</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Pugh, Edward</dc:creator>
  <cp:lastModifiedBy>Bloom, A. Keith</cp:lastModifiedBy>
  <cp:revision>1</cp:revision>
  <cp:lastPrinted>2014-08-12T16:45:00Z</cp:lastPrinted>
  <dcterms:created xsi:type="dcterms:W3CDTF">2017-11-21T20:35:00Z</dcterms:created>
  <dcterms:modified xsi:type="dcterms:W3CDTF">2017-11-21T20:35:00Z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0x01010098C8AEE0D6FC744F8ECE32D0C829E20D</vt:lpwstr>
  </property>
  <property fmtid="{D5CDD505-2E9C-101B-9397-08002B2CF9AE}" pid="3" name="_dlc_DocIdItemGuid">
    <vt:lpwstr>7b59ce7b-99bc-4fe0-b5ef-4cfb4af9af5b</vt:lpwstr>
  </property>
</Properties>
</file>