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2DCE8" w14:textId="1012C0B3" w:rsidR="002610CE" w:rsidRPr="00557402" w:rsidRDefault="008D3CDC"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w:t>
      </w:r>
      <w:r w:rsidR="00F107B7" w:rsidRPr="00557402">
        <w:rPr>
          <w:rFonts w:ascii="Times New Roman" w:hAnsi="Times New Roman" w:cs="Times New Roman"/>
        </w:rPr>
        <w:t xml:space="preserve">upporting Statement for </w:t>
      </w:r>
    </w:p>
    <w:p w14:paraId="31918CF8" w14:textId="77777777" w:rsidR="00146275" w:rsidRPr="00557402" w:rsidRDefault="00F45509"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Electronic </w:t>
      </w:r>
      <w:r w:rsidR="002610CE" w:rsidRPr="00557402">
        <w:rPr>
          <w:rFonts w:ascii="Times New Roman" w:hAnsi="Times New Roman" w:cs="Times New Roman"/>
        </w:rPr>
        <w:t>Consent Based Social Security Number Verification</w:t>
      </w:r>
    </w:p>
    <w:p w14:paraId="37D9D405" w14:textId="77777777" w:rsidR="00A45D82" w:rsidRPr="00557402" w:rsidRDefault="002610CE"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557402">
        <w:rPr>
          <w:rFonts w:ascii="Times New Roman" w:hAnsi="Times New Roman" w:cs="Times New Roman"/>
        </w:rPr>
        <w:t>20 CFR 401.100</w:t>
      </w:r>
    </w:p>
    <w:p w14:paraId="3AA79A0F" w14:textId="123F1374" w:rsidR="00A45D82" w:rsidRPr="0055740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557402">
        <w:rPr>
          <w:rFonts w:ascii="Times New Roman" w:hAnsi="Times New Roman" w:cs="Times New Roman"/>
        </w:rPr>
        <w:t xml:space="preserve">OMB </w:t>
      </w:r>
      <w:r w:rsidR="002321B0" w:rsidRPr="00557402">
        <w:rPr>
          <w:rFonts w:ascii="Times New Roman" w:hAnsi="Times New Roman" w:cs="Times New Roman"/>
        </w:rPr>
        <w:t>No.</w:t>
      </w:r>
      <w:r w:rsidRPr="00557402">
        <w:rPr>
          <w:rFonts w:ascii="Times New Roman" w:hAnsi="Times New Roman" w:cs="Times New Roman"/>
        </w:rPr>
        <w:t xml:space="preserve"> 0960-</w:t>
      </w:r>
      <w:r w:rsidR="00727A8E">
        <w:rPr>
          <w:rFonts w:ascii="Times New Roman" w:hAnsi="Times New Roman" w:cs="Times New Roman"/>
        </w:rPr>
        <w:t>0817</w:t>
      </w:r>
    </w:p>
    <w:p w14:paraId="4ACE0DE9" w14:textId="77777777" w:rsidR="00A45D82" w:rsidRPr="00557402" w:rsidRDefault="00A45D82" w:rsidP="00A45D82">
      <w:pPr>
        <w:pStyle w:val="Header"/>
        <w:tabs>
          <w:tab w:val="clear" w:pos="4320"/>
          <w:tab w:val="clear" w:pos="8640"/>
        </w:tabs>
        <w:rPr>
          <w:rFonts w:ascii="Times New Roman" w:hAnsi="Times New Roman"/>
        </w:rPr>
      </w:pPr>
    </w:p>
    <w:p w14:paraId="5DF88307" w14:textId="77777777" w:rsidR="00A45D82" w:rsidRPr="00557402" w:rsidRDefault="00A45D82" w:rsidP="00684720">
      <w:pPr>
        <w:ind w:left="720" w:hanging="540"/>
        <w:rPr>
          <w:rFonts w:ascii="Times New Roman" w:hAnsi="Times New Roman"/>
          <w:b/>
        </w:rPr>
      </w:pPr>
      <w:r w:rsidRPr="00557402">
        <w:rPr>
          <w:rFonts w:ascii="Times New Roman" w:hAnsi="Times New Roman"/>
          <w:b/>
        </w:rPr>
        <w:t xml:space="preserve">A. </w:t>
      </w:r>
      <w:r w:rsidRPr="00557402">
        <w:rPr>
          <w:rFonts w:ascii="Times New Roman" w:hAnsi="Times New Roman"/>
          <w:b/>
        </w:rPr>
        <w:tab/>
      </w:r>
      <w:r w:rsidRPr="00557402">
        <w:rPr>
          <w:rFonts w:ascii="Times New Roman" w:hAnsi="Times New Roman"/>
          <w:b/>
          <w:u w:val="single"/>
        </w:rPr>
        <w:t>Justification</w:t>
      </w:r>
    </w:p>
    <w:p w14:paraId="21C78627" w14:textId="77777777" w:rsidR="00A45D82" w:rsidRPr="00557402" w:rsidRDefault="00A45D82" w:rsidP="00A45D82">
      <w:pPr>
        <w:pStyle w:val="Header"/>
        <w:tabs>
          <w:tab w:val="clear" w:pos="4320"/>
          <w:tab w:val="clear" w:pos="8640"/>
        </w:tabs>
        <w:rPr>
          <w:rFonts w:ascii="Times New Roman" w:hAnsi="Times New Roman"/>
        </w:rPr>
      </w:pPr>
    </w:p>
    <w:p w14:paraId="7E723B24" w14:textId="77777777" w:rsidR="002321B0" w:rsidRPr="00557402" w:rsidRDefault="002E18CF" w:rsidP="00D86699">
      <w:pPr>
        <w:numPr>
          <w:ilvl w:val="0"/>
          <w:numId w:val="5"/>
        </w:numPr>
        <w:tabs>
          <w:tab w:val="clear" w:pos="720"/>
          <w:tab w:val="num" w:pos="1440"/>
        </w:tabs>
        <w:ind w:left="1440"/>
        <w:rPr>
          <w:rFonts w:ascii="Times New Roman" w:hAnsi="Times New Roman"/>
          <w:b/>
        </w:rPr>
      </w:pPr>
      <w:r w:rsidRPr="00557402">
        <w:rPr>
          <w:rFonts w:ascii="Times New Roman" w:hAnsi="Times New Roman"/>
          <w:b/>
        </w:rPr>
        <w:t>Introduction/</w:t>
      </w:r>
      <w:r w:rsidR="00A45D82" w:rsidRPr="00557402">
        <w:rPr>
          <w:rFonts w:ascii="Times New Roman" w:hAnsi="Times New Roman"/>
          <w:b/>
        </w:rPr>
        <w:t>Authoring Laws and Regulations</w:t>
      </w:r>
    </w:p>
    <w:p w14:paraId="7F53BE06" w14:textId="77777777" w:rsidR="000E3930" w:rsidRPr="000E3930" w:rsidRDefault="000E3930" w:rsidP="000E3930">
      <w:pPr>
        <w:tabs>
          <w:tab w:val="num" w:pos="1440"/>
        </w:tabs>
        <w:ind w:left="1440"/>
        <w:rPr>
          <w:rFonts w:ascii="Times New Roman" w:hAnsi="Times New Roman"/>
        </w:rPr>
      </w:pPr>
      <w:r>
        <w:rPr>
          <w:rFonts w:ascii="Times New Roman" w:hAnsi="Times New Roman"/>
        </w:rPr>
        <w:t>S</w:t>
      </w:r>
      <w:r w:rsidRPr="00335EEE">
        <w:rPr>
          <w:rFonts w:ascii="Times New Roman" w:hAnsi="Times New Roman"/>
        </w:rPr>
        <w:t xml:space="preserve">ection </w:t>
      </w:r>
      <w:r w:rsidRPr="00E963D8">
        <w:rPr>
          <w:rFonts w:ascii="Times New Roman" w:hAnsi="Times New Roman"/>
          <w:i/>
        </w:rPr>
        <w:t>215</w:t>
      </w:r>
      <w:r w:rsidRPr="00335EEE">
        <w:rPr>
          <w:rFonts w:ascii="Times New Roman" w:hAnsi="Times New Roman"/>
        </w:rPr>
        <w:t xml:space="preserve"> of </w:t>
      </w:r>
      <w:r w:rsidRPr="00E963D8">
        <w:rPr>
          <w:rFonts w:ascii="Times New Roman" w:hAnsi="Times New Roman"/>
          <w:i/>
        </w:rPr>
        <w:t>S. 2155</w:t>
      </w:r>
      <w:r w:rsidRPr="00335EEE">
        <w:rPr>
          <w:rFonts w:ascii="Times New Roman" w:hAnsi="Times New Roman"/>
        </w:rPr>
        <w:t xml:space="preserve">, the </w:t>
      </w:r>
      <w:r w:rsidRPr="00E963D8">
        <w:rPr>
          <w:rFonts w:ascii="Times New Roman" w:hAnsi="Times New Roman"/>
          <w:i/>
        </w:rPr>
        <w:t>Economic Growth, Regulatory Relief, and Consumer Protection Act of 2018</w:t>
      </w:r>
      <w:r w:rsidRPr="00335EEE">
        <w:rPr>
          <w:rFonts w:ascii="Times New Roman" w:hAnsi="Times New Roman"/>
        </w:rPr>
        <w:t xml:space="preserve"> </w:t>
      </w:r>
      <w:r w:rsidRPr="00E963D8">
        <w:rPr>
          <w:rFonts w:ascii="Times New Roman" w:hAnsi="Times New Roman"/>
        </w:rPr>
        <w:t>(</w:t>
      </w:r>
      <w:r w:rsidRPr="00E963D8">
        <w:rPr>
          <w:rFonts w:ascii="Times New Roman" w:hAnsi="Times New Roman"/>
          <w:i/>
        </w:rPr>
        <w:t>Banking Bill; Pub. L. No. 115-174</w:t>
      </w:r>
      <w:r w:rsidRPr="00335EEE">
        <w:rPr>
          <w:rFonts w:ascii="Times New Roman" w:hAnsi="Times New Roman"/>
        </w:rPr>
        <w:t>)</w:t>
      </w:r>
      <w:r w:rsidRPr="000E3930">
        <w:rPr>
          <w:rFonts w:ascii="Times New Roman" w:hAnsi="Times New Roman"/>
        </w:rPr>
        <w:t xml:space="preserve"> directs SSA to modify</w:t>
      </w:r>
      <w:r>
        <w:rPr>
          <w:rFonts w:ascii="Times New Roman" w:hAnsi="Times New Roman"/>
        </w:rPr>
        <w:t xml:space="preserve"> </w:t>
      </w:r>
      <w:r w:rsidRPr="000E3930">
        <w:rPr>
          <w:rFonts w:ascii="Times New Roman" w:hAnsi="Times New Roman"/>
        </w:rPr>
        <w:t>or develop a database for accepting and</w:t>
      </w:r>
      <w:r>
        <w:rPr>
          <w:rFonts w:ascii="Times New Roman" w:hAnsi="Times New Roman"/>
        </w:rPr>
        <w:t xml:space="preserve"> </w:t>
      </w:r>
      <w:r w:rsidRPr="000E3930">
        <w:rPr>
          <w:rFonts w:ascii="Times New Roman" w:hAnsi="Times New Roman"/>
        </w:rPr>
        <w:t>comparing fraud protection data</w:t>
      </w:r>
      <w:r>
        <w:rPr>
          <w:rFonts w:ascii="Times New Roman" w:hAnsi="Times New Roman"/>
        </w:rPr>
        <w:t xml:space="preserve"> </w:t>
      </w:r>
      <w:r w:rsidRPr="000E3930">
        <w:rPr>
          <w:rFonts w:ascii="Times New Roman" w:hAnsi="Times New Roman"/>
        </w:rPr>
        <w:t>provided electronically by a permitted</w:t>
      </w:r>
      <w:r>
        <w:rPr>
          <w:rFonts w:ascii="Times New Roman" w:hAnsi="Times New Roman"/>
        </w:rPr>
        <w:t xml:space="preserve"> </w:t>
      </w:r>
      <w:r w:rsidRPr="000E3930">
        <w:rPr>
          <w:rFonts w:ascii="Times New Roman" w:hAnsi="Times New Roman"/>
        </w:rPr>
        <w:t>entity</w:t>
      </w:r>
      <w:r>
        <w:rPr>
          <w:rFonts w:ascii="Times New Roman" w:hAnsi="Times New Roman"/>
        </w:rPr>
        <w:t xml:space="preserve">.  </w:t>
      </w:r>
      <w:r w:rsidRPr="000E3930">
        <w:rPr>
          <w:rFonts w:ascii="Times New Roman" w:hAnsi="Times New Roman"/>
        </w:rPr>
        <w:t xml:space="preserve">The </w:t>
      </w:r>
      <w:r w:rsidRPr="005271F7">
        <w:rPr>
          <w:rFonts w:ascii="Times New Roman" w:hAnsi="Times New Roman"/>
          <w:i/>
        </w:rPr>
        <w:t>Banking Bill</w:t>
      </w:r>
      <w:r w:rsidRPr="000E3930">
        <w:rPr>
          <w:rFonts w:ascii="Times New Roman" w:hAnsi="Times New Roman"/>
        </w:rPr>
        <w:t xml:space="preserve"> defines ‘‘Fraud Protection</w:t>
      </w:r>
    </w:p>
    <w:p w14:paraId="4AADE663" w14:textId="4A2E497A" w:rsidR="000E3930" w:rsidRDefault="000E3930" w:rsidP="000E3930">
      <w:pPr>
        <w:tabs>
          <w:tab w:val="num" w:pos="1440"/>
        </w:tabs>
        <w:ind w:left="1440"/>
        <w:rPr>
          <w:rFonts w:ascii="Times New Roman" w:hAnsi="Times New Roman"/>
        </w:rPr>
      </w:pPr>
      <w:r w:rsidRPr="000E3930">
        <w:rPr>
          <w:rFonts w:ascii="Times New Roman" w:hAnsi="Times New Roman"/>
        </w:rPr>
        <w:t xml:space="preserve">Data’’ </w:t>
      </w:r>
      <w:r w:rsidR="007A500C">
        <w:rPr>
          <w:rFonts w:ascii="Times New Roman" w:hAnsi="Times New Roman"/>
        </w:rPr>
        <w:t>as</w:t>
      </w:r>
      <w:r w:rsidRPr="000E3930">
        <w:rPr>
          <w:rFonts w:ascii="Times New Roman" w:hAnsi="Times New Roman"/>
        </w:rPr>
        <w:t xml:space="preserve"> a combination of an individual’s</w:t>
      </w:r>
      <w:r>
        <w:rPr>
          <w:rFonts w:ascii="Times New Roman" w:hAnsi="Times New Roman"/>
        </w:rPr>
        <w:t xml:space="preserve"> </w:t>
      </w:r>
      <w:r w:rsidRPr="000E3930">
        <w:rPr>
          <w:rFonts w:ascii="Times New Roman" w:hAnsi="Times New Roman"/>
        </w:rPr>
        <w:t>name (including the first name</w:t>
      </w:r>
      <w:r>
        <w:rPr>
          <w:rFonts w:ascii="Times New Roman" w:hAnsi="Times New Roman"/>
        </w:rPr>
        <w:t xml:space="preserve"> </w:t>
      </w:r>
      <w:r w:rsidRPr="000E3930">
        <w:rPr>
          <w:rFonts w:ascii="Times New Roman" w:hAnsi="Times New Roman"/>
        </w:rPr>
        <w:t>and any family</w:t>
      </w:r>
      <w:r>
        <w:rPr>
          <w:rFonts w:ascii="Times New Roman" w:hAnsi="Times New Roman"/>
        </w:rPr>
        <w:t xml:space="preserve"> </w:t>
      </w:r>
      <w:r w:rsidR="007A500C">
        <w:rPr>
          <w:rFonts w:ascii="Times New Roman" w:hAnsi="Times New Roman"/>
        </w:rPr>
        <w:t>forename or surname);</w:t>
      </w:r>
      <w:r w:rsidRPr="000E3930">
        <w:rPr>
          <w:rFonts w:ascii="Times New Roman" w:hAnsi="Times New Roman"/>
        </w:rPr>
        <w:t xml:space="preserve"> </w:t>
      </w:r>
      <w:r w:rsidR="00C147A7">
        <w:rPr>
          <w:rFonts w:ascii="Times New Roman" w:hAnsi="Times New Roman"/>
        </w:rPr>
        <w:t>Social Security Number (</w:t>
      </w:r>
      <w:r w:rsidRPr="000E3930">
        <w:rPr>
          <w:rFonts w:ascii="Times New Roman" w:hAnsi="Times New Roman"/>
        </w:rPr>
        <w:t>SSN</w:t>
      </w:r>
      <w:r w:rsidR="00C147A7">
        <w:rPr>
          <w:rFonts w:ascii="Times New Roman" w:hAnsi="Times New Roman"/>
        </w:rPr>
        <w:t>)</w:t>
      </w:r>
      <w:r w:rsidR="007A500C">
        <w:rPr>
          <w:rFonts w:ascii="Times New Roman" w:hAnsi="Times New Roman"/>
        </w:rPr>
        <w:t>;</w:t>
      </w:r>
      <w:r w:rsidRPr="000E3930">
        <w:rPr>
          <w:rFonts w:ascii="Times New Roman" w:hAnsi="Times New Roman"/>
        </w:rPr>
        <w:t xml:space="preserve"> and date of birth</w:t>
      </w:r>
      <w:r w:rsidR="00C147A7">
        <w:rPr>
          <w:rFonts w:ascii="Times New Roman" w:hAnsi="Times New Roman"/>
        </w:rPr>
        <w:t xml:space="preserve"> (DOB)</w:t>
      </w:r>
      <w:r>
        <w:rPr>
          <w:rFonts w:ascii="Times New Roman" w:hAnsi="Times New Roman"/>
        </w:rPr>
        <w:t xml:space="preserve"> </w:t>
      </w:r>
      <w:r w:rsidRPr="000E3930">
        <w:rPr>
          <w:rFonts w:ascii="Times New Roman" w:hAnsi="Times New Roman"/>
        </w:rPr>
        <w:t>(including month,</w:t>
      </w:r>
      <w:r>
        <w:rPr>
          <w:rFonts w:ascii="Times New Roman" w:hAnsi="Times New Roman"/>
        </w:rPr>
        <w:t xml:space="preserve"> </w:t>
      </w:r>
      <w:r w:rsidRPr="000E3930">
        <w:rPr>
          <w:rFonts w:ascii="Times New Roman" w:hAnsi="Times New Roman"/>
        </w:rPr>
        <w:t>day, and year).</w:t>
      </w:r>
    </w:p>
    <w:p w14:paraId="0C6C47B3" w14:textId="77777777" w:rsidR="00384B54" w:rsidRDefault="00384B54" w:rsidP="000E3930">
      <w:pPr>
        <w:tabs>
          <w:tab w:val="num" w:pos="1440"/>
        </w:tabs>
        <w:ind w:left="1440"/>
        <w:rPr>
          <w:rFonts w:ascii="Times New Roman" w:hAnsi="Times New Roman"/>
        </w:rPr>
      </w:pPr>
    </w:p>
    <w:p w14:paraId="31074870" w14:textId="348F53BE" w:rsidR="0036049C" w:rsidRDefault="00501D1D" w:rsidP="00684720">
      <w:pPr>
        <w:tabs>
          <w:tab w:val="num" w:pos="1440"/>
        </w:tabs>
        <w:ind w:left="1440"/>
        <w:rPr>
          <w:rFonts w:ascii="Times New Roman" w:hAnsi="Times New Roman"/>
        </w:rPr>
      </w:pPr>
      <w:r>
        <w:rPr>
          <w:rFonts w:ascii="Times New Roman" w:hAnsi="Times New Roman"/>
        </w:rPr>
        <w:t>Permitted entities</w:t>
      </w:r>
      <w:r w:rsidR="0036049C" w:rsidRPr="00557402">
        <w:rPr>
          <w:rFonts w:ascii="Times New Roman" w:hAnsi="Times New Roman"/>
        </w:rPr>
        <w:t xml:space="preserve">, such as </w:t>
      </w:r>
      <w:r>
        <w:rPr>
          <w:rFonts w:ascii="Times New Roman" w:hAnsi="Times New Roman"/>
        </w:rPr>
        <w:t xml:space="preserve">a financial institution as defined by </w:t>
      </w:r>
      <w:r w:rsidR="007A500C">
        <w:rPr>
          <w:rFonts w:ascii="Times New Roman" w:hAnsi="Times New Roman"/>
        </w:rPr>
        <w:t>s</w:t>
      </w:r>
      <w:r>
        <w:rPr>
          <w:rFonts w:ascii="Times New Roman" w:hAnsi="Times New Roman"/>
        </w:rPr>
        <w:t xml:space="preserve">ection </w:t>
      </w:r>
      <w:r w:rsidRPr="00E963D8">
        <w:rPr>
          <w:rFonts w:ascii="Times New Roman" w:hAnsi="Times New Roman"/>
          <w:i/>
        </w:rPr>
        <w:t>50</w:t>
      </w:r>
      <w:r w:rsidR="00106206">
        <w:rPr>
          <w:rFonts w:ascii="Times New Roman" w:hAnsi="Times New Roman"/>
          <w:i/>
        </w:rPr>
        <w:t>9</w:t>
      </w:r>
      <w:r>
        <w:rPr>
          <w:rFonts w:ascii="Times New Roman" w:hAnsi="Times New Roman"/>
        </w:rPr>
        <w:t xml:space="preserve"> of the </w:t>
      </w:r>
      <w:r w:rsidRPr="00E963D8">
        <w:rPr>
          <w:rFonts w:ascii="Times New Roman" w:hAnsi="Times New Roman"/>
          <w:i/>
        </w:rPr>
        <w:t>Gramm-Leach-Bliley Act</w:t>
      </w:r>
      <w:r>
        <w:rPr>
          <w:rFonts w:ascii="Times New Roman" w:hAnsi="Times New Roman"/>
        </w:rPr>
        <w:t>, or a service provider, subsidiary, affiliate, agent, subcontractor, or assignee of a financial institution</w:t>
      </w:r>
      <w:r w:rsidR="00EE282D">
        <w:rPr>
          <w:rFonts w:ascii="Times New Roman" w:hAnsi="Times New Roman"/>
        </w:rPr>
        <w:t>,</w:t>
      </w:r>
      <w:r>
        <w:rPr>
          <w:rFonts w:ascii="Times New Roman" w:hAnsi="Times New Roman"/>
        </w:rPr>
        <w:t xml:space="preserve"> </w:t>
      </w:r>
      <w:r w:rsidR="0036049C" w:rsidRPr="00557402">
        <w:rPr>
          <w:rFonts w:ascii="Times New Roman" w:hAnsi="Times New Roman"/>
        </w:rPr>
        <w:t xml:space="preserve">present the Social Security Administration (SSA) with requests for SSN verifications.  To facilitate processing these requests, SSA developed the </w:t>
      </w:r>
      <w:r>
        <w:rPr>
          <w:rFonts w:ascii="Times New Roman" w:hAnsi="Times New Roman"/>
        </w:rPr>
        <w:t xml:space="preserve">electronic </w:t>
      </w:r>
      <w:r w:rsidR="0036049C" w:rsidRPr="00557402">
        <w:rPr>
          <w:rFonts w:ascii="Times New Roman" w:hAnsi="Times New Roman"/>
        </w:rPr>
        <w:t>Consent Based Social Security Number Verification (</w:t>
      </w:r>
      <w:r w:rsidR="00F45509">
        <w:rPr>
          <w:rFonts w:ascii="Times New Roman" w:hAnsi="Times New Roman"/>
        </w:rPr>
        <w:t>e</w:t>
      </w:r>
      <w:r w:rsidR="0036049C" w:rsidRPr="00557402">
        <w:rPr>
          <w:rFonts w:ascii="Times New Roman" w:hAnsi="Times New Roman"/>
        </w:rPr>
        <w:t xml:space="preserve">CBSV) </w:t>
      </w:r>
      <w:r w:rsidR="00727A8E">
        <w:rPr>
          <w:rFonts w:ascii="Times New Roman" w:hAnsi="Times New Roman"/>
        </w:rPr>
        <w:t>service</w:t>
      </w:r>
      <w:r w:rsidR="0036049C" w:rsidRPr="00557402">
        <w:rPr>
          <w:rFonts w:ascii="Times New Roman" w:hAnsi="Times New Roman"/>
        </w:rPr>
        <w:t>.  Section</w:t>
      </w:r>
      <w:r w:rsidR="0036049C" w:rsidRPr="00557402">
        <w:rPr>
          <w:rFonts w:ascii="Times New Roman" w:hAnsi="Times New Roman"/>
          <w:i/>
        </w:rPr>
        <w:t xml:space="preserve"> 1106</w:t>
      </w:r>
      <w:r w:rsidR="0036049C" w:rsidRPr="00557402">
        <w:rPr>
          <w:rFonts w:ascii="Times New Roman" w:hAnsi="Times New Roman"/>
        </w:rPr>
        <w:t xml:space="preserve"> of the </w:t>
      </w:r>
      <w:r w:rsidR="0036049C" w:rsidRPr="00557402">
        <w:rPr>
          <w:rFonts w:ascii="Times New Roman" w:hAnsi="Times New Roman"/>
          <w:i/>
        </w:rPr>
        <w:t>Social Security Act (Act)</w:t>
      </w:r>
      <w:r w:rsidR="007A500C" w:rsidRPr="00335EEE">
        <w:rPr>
          <w:rFonts w:ascii="Times New Roman" w:hAnsi="Times New Roman"/>
        </w:rPr>
        <w:t xml:space="preserve">, codified at </w:t>
      </w:r>
      <w:r w:rsidR="007A500C">
        <w:rPr>
          <w:rFonts w:ascii="Times New Roman" w:hAnsi="Times New Roman"/>
          <w:i/>
        </w:rPr>
        <w:t>42 U.S.C.</w:t>
      </w:r>
      <w:r w:rsidR="007A500C" w:rsidRPr="00E963D8">
        <w:rPr>
          <w:rFonts w:ascii="Times New Roman" w:hAnsi="Times New Roman"/>
          <w:i/>
        </w:rPr>
        <w:t xml:space="preserve"> 1306</w:t>
      </w:r>
      <w:r w:rsidR="0049110E">
        <w:rPr>
          <w:rFonts w:ascii="Times New Roman" w:hAnsi="Times New Roman"/>
          <w:i/>
        </w:rPr>
        <w:t>;</w:t>
      </w:r>
      <w:r w:rsidR="000A2527">
        <w:rPr>
          <w:rFonts w:ascii="Times New Roman" w:hAnsi="Times New Roman"/>
          <w:i/>
        </w:rPr>
        <w:t xml:space="preserve"> </w:t>
      </w:r>
      <w:r w:rsidR="007A500C">
        <w:rPr>
          <w:rFonts w:ascii="Times New Roman" w:hAnsi="Times New Roman"/>
        </w:rPr>
        <w:t>s</w:t>
      </w:r>
      <w:r w:rsidR="0036049C" w:rsidRPr="00557402">
        <w:rPr>
          <w:rFonts w:ascii="Times New Roman" w:hAnsi="Times New Roman"/>
        </w:rPr>
        <w:t>ection</w:t>
      </w:r>
      <w:r w:rsidR="0036049C" w:rsidRPr="00557402">
        <w:rPr>
          <w:rFonts w:ascii="Times New Roman" w:hAnsi="Times New Roman"/>
          <w:i/>
        </w:rPr>
        <w:t xml:space="preserve"> 20 CFR 401.100</w:t>
      </w:r>
      <w:r w:rsidR="0036049C" w:rsidRPr="00557402">
        <w:rPr>
          <w:rFonts w:ascii="Times New Roman" w:hAnsi="Times New Roman"/>
        </w:rPr>
        <w:t xml:space="preserve"> of the </w:t>
      </w:r>
      <w:r w:rsidR="0036049C" w:rsidRPr="00557402">
        <w:rPr>
          <w:rFonts w:ascii="Times New Roman" w:hAnsi="Times New Roman"/>
          <w:i/>
        </w:rPr>
        <w:t>Code of Federal Regulations</w:t>
      </w:r>
      <w:r w:rsidR="0049110E">
        <w:rPr>
          <w:rFonts w:ascii="Times New Roman" w:hAnsi="Times New Roman"/>
          <w:i/>
        </w:rPr>
        <w:t>;</w:t>
      </w:r>
      <w:r w:rsidR="00335EEE" w:rsidRPr="00335EEE">
        <w:rPr>
          <w:rFonts w:ascii="Times New Roman" w:hAnsi="Times New Roman"/>
          <w:i/>
        </w:rPr>
        <w:t xml:space="preserve"> </w:t>
      </w:r>
      <w:r w:rsidR="007A500C" w:rsidRPr="007A500C">
        <w:rPr>
          <w:rFonts w:ascii="Times New Roman" w:hAnsi="Times New Roman"/>
        </w:rPr>
        <w:t xml:space="preserve">and </w:t>
      </w:r>
      <w:r w:rsidR="00335EEE" w:rsidRPr="00E963D8">
        <w:rPr>
          <w:rFonts w:ascii="Times New Roman" w:hAnsi="Times New Roman"/>
          <w:i/>
        </w:rPr>
        <w:t>5 U</w:t>
      </w:r>
      <w:r w:rsidR="00515D3C">
        <w:rPr>
          <w:rFonts w:ascii="Times New Roman" w:hAnsi="Times New Roman"/>
          <w:i/>
        </w:rPr>
        <w:t>.</w:t>
      </w:r>
      <w:r w:rsidR="00335EEE" w:rsidRPr="00E963D8">
        <w:rPr>
          <w:rFonts w:ascii="Times New Roman" w:hAnsi="Times New Roman"/>
          <w:i/>
        </w:rPr>
        <w:t>S</w:t>
      </w:r>
      <w:r w:rsidR="00515D3C">
        <w:rPr>
          <w:rFonts w:ascii="Times New Roman" w:hAnsi="Times New Roman"/>
          <w:i/>
        </w:rPr>
        <w:t>.</w:t>
      </w:r>
      <w:r w:rsidR="00335EEE" w:rsidRPr="00E963D8">
        <w:rPr>
          <w:rFonts w:ascii="Times New Roman" w:hAnsi="Times New Roman"/>
          <w:i/>
        </w:rPr>
        <w:t>C</w:t>
      </w:r>
      <w:r w:rsidR="00515D3C">
        <w:rPr>
          <w:rFonts w:ascii="Times New Roman" w:hAnsi="Times New Roman"/>
          <w:i/>
        </w:rPr>
        <w:t>.</w:t>
      </w:r>
      <w:r w:rsidR="00335EEE" w:rsidRPr="00E963D8">
        <w:rPr>
          <w:rFonts w:ascii="Times New Roman" w:hAnsi="Times New Roman"/>
          <w:i/>
        </w:rPr>
        <w:t xml:space="preserve"> 552a (b)</w:t>
      </w:r>
      <w:r w:rsidR="0049110E">
        <w:rPr>
          <w:rFonts w:ascii="Times New Roman" w:hAnsi="Times New Roman"/>
          <w:i/>
        </w:rPr>
        <w:t xml:space="preserve"> </w:t>
      </w:r>
      <w:r w:rsidR="0049110E" w:rsidRPr="0049110E">
        <w:rPr>
          <w:rFonts w:ascii="Times New Roman" w:hAnsi="Times New Roman"/>
        </w:rPr>
        <w:t>of the</w:t>
      </w:r>
      <w:r w:rsidR="0049110E">
        <w:rPr>
          <w:rFonts w:ascii="Times New Roman" w:hAnsi="Times New Roman"/>
          <w:i/>
        </w:rPr>
        <w:t xml:space="preserve"> </w:t>
      </w:r>
      <w:r w:rsidR="0049110E" w:rsidRPr="00E963D8">
        <w:rPr>
          <w:rFonts w:ascii="Times New Roman" w:hAnsi="Times New Roman"/>
          <w:i/>
        </w:rPr>
        <w:t>Privacy Act</w:t>
      </w:r>
      <w:r w:rsidR="007A500C">
        <w:rPr>
          <w:rFonts w:ascii="Times New Roman" w:hAnsi="Times New Roman"/>
        </w:rPr>
        <w:t xml:space="preserve"> </w:t>
      </w:r>
      <w:r w:rsidR="0036049C" w:rsidRPr="00557402">
        <w:rPr>
          <w:rFonts w:ascii="Times New Roman" w:hAnsi="Times New Roman"/>
        </w:rPr>
        <w:t>provide the authority for SSA to provide verification of SSNs.</w:t>
      </w:r>
    </w:p>
    <w:p w14:paraId="41AF4689" w14:textId="7C31BD79" w:rsidR="00270EF2" w:rsidRDefault="00270EF2" w:rsidP="00684720">
      <w:pPr>
        <w:tabs>
          <w:tab w:val="num" w:pos="1440"/>
        </w:tabs>
        <w:ind w:left="1440"/>
        <w:rPr>
          <w:rFonts w:ascii="Times New Roman" w:hAnsi="Times New Roman"/>
        </w:rPr>
      </w:pPr>
    </w:p>
    <w:p w14:paraId="1B3EC4A5" w14:textId="2B38074C" w:rsidR="00270EF2" w:rsidRPr="00501D1D" w:rsidRDefault="00270EF2" w:rsidP="00684720">
      <w:pPr>
        <w:tabs>
          <w:tab w:val="num" w:pos="1440"/>
        </w:tabs>
        <w:ind w:left="1440"/>
        <w:rPr>
          <w:rFonts w:ascii="Times New Roman" w:hAnsi="Times New Roman"/>
        </w:rPr>
      </w:pPr>
      <w:r>
        <w:rPr>
          <w:rFonts w:ascii="Times New Roman" w:hAnsi="Times New Roman"/>
        </w:rPr>
        <w:t xml:space="preserve">We obtained initial </w:t>
      </w:r>
      <w:r w:rsidR="007A500C">
        <w:rPr>
          <w:rFonts w:ascii="Times New Roman" w:hAnsi="Times New Roman"/>
        </w:rPr>
        <w:t xml:space="preserve">Office of Management and Budget </w:t>
      </w:r>
      <w:r>
        <w:rPr>
          <w:rFonts w:ascii="Times New Roman" w:hAnsi="Times New Roman"/>
        </w:rPr>
        <w:t xml:space="preserve">approval for </w:t>
      </w:r>
      <w:r w:rsidR="004825A9">
        <w:rPr>
          <w:rFonts w:ascii="Times New Roman" w:hAnsi="Times New Roman"/>
        </w:rPr>
        <w:t xml:space="preserve">Phase I of </w:t>
      </w:r>
      <w:r>
        <w:rPr>
          <w:rFonts w:ascii="Times New Roman" w:hAnsi="Times New Roman"/>
        </w:rPr>
        <w:t xml:space="preserve">eCBSV on 7/2/2020.  The initial approval was for a limited release to 10 permitted entities, </w:t>
      </w:r>
      <w:r w:rsidR="00E91342">
        <w:rPr>
          <w:rFonts w:ascii="Times New Roman" w:hAnsi="Times New Roman"/>
        </w:rPr>
        <w:t xml:space="preserve">of different volume tiers, </w:t>
      </w:r>
      <w:r>
        <w:rPr>
          <w:rFonts w:ascii="Times New Roman" w:hAnsi="Times New Roman"/>
        </w:rPr>
        <w:t xml:space="preserve">to test the system and make any corrections needed prior to the expanded rollout.  This </w:t>
      </w:r>
      <w:r w:rsidR="00106206">
        <w:rPr>
          <w:rFonts w:ascii="Times New Roman" w:hAnsi="Times New Roman"/>
        </w:rPr>
        <w:t>Information Collection Reques</w:t>
      </w:r>
      <w:r w:rsidR="00106039">
        <w:rPr>
          <w:rFonts w:ascii="Times New Roman" w:hAnsi="Times New Roman"/>
        </w:rPr>
        <w:t>t</w:t>
      </w:r>
      <w:bookmarkStart w:id="0" w:name="_GoBack"/>
      <w:bookmarkEnd w:id="0"/>
      <w:r w:rsidR="00106206">
        <w:rPr>
          <w:rFonts w:ascii="Times New Roman" w:hAnsi="Times New Roman"/>
        </w:rPr>
        <w:t xml:space="preserve"> (</w:t>
      </w:r>
      <w:r>
        <w:rPr>
          <w:rFonts w:ascii="Times New Roman" w:hAnsi="Times New Roman"/>
        </w:rPr>
        <w:t>ICR</w:t>
      </w:r>
      <w:r w:rsidR="00106206">
        <w:rPr>
          <w:rFonts w:ascii="Times New Roman" w:hAnsi="Times New Roman"/>
        </w:rPr>
        <w:t>)</w:t>
      </w:r>
      <w:r>
        <w:rPr>
          <w:rFonts w:ascii="Times New Roman" w:hAnsi="Times New Roman"/>
        </w:rPr>
        <w:t xml:space="preserve"> is for the expanded rollout of eCBSV, which will </w:t>
      </w:r>
      <w:r w:rsidR="004825A9">
        <w:rPr>
          <w:rFonts w:ascii="Times New Roman" w:hAnsi="Times New Roman"/>
        </w:rPr>
        <w:t xml:space="preserve">grant access to </w:t>
      </w:r>
      <w:r w:rsidR="00C26246">
        <w:rPr>
          <w:rFonts w:ascii="Times New Roman" w:hAnsi="Times New Roman"/>
        </w:rPr>
        <w:t xml:space="preserve">the 113 </w:t>
      </w:r>
      <w:r>
        <w:rPr>
          <w:rFonts w:ascii="Times New Roman" w:hAnsi="Times New Roman"/>
        </w:rPr>
        <w:t xml:space="preserve">permitted entities </w:t>
      </w:r>
      <w:r w:rsidR="00E80B7E">
        <w:rPr>
          <w:rFonts w:ascii="Times New Roman" w:hAnsi="Times New Roman"/>
        </w:rPr>
        <w:t xml:space="preserve">who applied during the initial </w:t>
      </w:r>
      <w:r w:rsidR="00660CF8">
        <w:rPr>
          <w:rFonts w:ascii="Times New Roman" w:hAnsi="Times New Roman"/>
        </w:rPr>
        <w:t xml:space="preserve">application period, but </w:t>
      </w:r>
      <w:r w:rsidR="007A500C">
        <w:rPr>
          <w:rFonts w:ascii="Times New Roman" w:hAnsi="Times New Roman"/>
        </w:rPr>
        <w:t>whom SSA did not select</w:t>
      </w:r>
      <w:r w:rsidR="00660CF8">
        <w:rPr>
          <w:rFonts w:ascii="Times New Roman" w:hAnsi="Times New Roman"/>
        </w:rPr>
        <w:t xml:space="preserve"> </w:t>
      </w:r>
      <w:r w:rsidR="000A2527">
        <w:rPr>
          <w:rFonts w:ascii="Times New Roman" w:hAnsi="Times New Roman"/>
        </w:rPr>
        <w:t>for</w:t>
      </w:r>
      <w:r w:rsidR="00660CF8">
        <w:rPr>
          <w:rFonts w:ascii="Times New Roman" w:hAnsi="Times New Roman"/>
        </w:rPr>
        <w:t xml:space="preserve"> </w:t>
      </w:r>
      <w:r w:rsidR="004825A9">
        <w:rPr>
          <w:rFonts w:ascii="Times New Roman" w:hAnsi="Times New Roman"/>
        </w:rPr>
        <w:t>Phase I</w:t>
      </w:r>
      <w:r>
        <w:rPr>
          <w:rFonts w:ascii="Times New Roman" w:hAnsi="Times New Roman"/>
        </w:rPr>
        <w:t>.</w:t>
      </w:r>
    </w:p>
    <w:p w14:paraId="7F72C32E" w14:textId="77777777" w:rsidR="0036049C" w:rsidRPr="00557402" w:rsidRDefault="0036049C" w:rsidP="00684720">
      <w:pPr>
        <w:tabs>
          <w:tab w:val="num" w:pos="1440"/>
        </w:tabs>
        <w:ind w:left="1440"/>
        <w:rPr>
          <w:rFonts w:ascii="Times New Roman" w:hAnsi="Times New Roman"/>
        </w:rPr>
      </w:pPr>
    </w:p>
    <w:p w14:paraId="70B6BB63" w14:textId="77777777" w:rsidR="002E18CF" w:rsidRPr="00557402" w:rsidRDefault="00F56A74" w:rsidP="009235F7">
      <w:pPr>
        <w:numPr>
          <w:ilvl w:val="0"/>
          <w:numId w:val="2"/>
        </w:numPr>
        <w:tabs>
          <w:tab w:val="clear" w:pos="720"/>
          <w:tab w:val="num" w:pos="1440"/>
        </w:tabs>
        <w:ind w:left="1440"/>
        <w:rPr>
          <w:rFonts w:ascii="Times New Roman" w:hAnsi="Times New Roman"/>
        </w:rPr>
      </w:pPr>
      <w:r w:rsidRPr="00557402">
        <w:rPr>
          <w:rFonts w:ascii="Times New Roman" w:hAnsi="Times New Roman"/>
          <w:b/>
        </w:rPr>
        <w:t>Description of Collection</w:t>
      </w:r>
    </w:p>
    <w:p w14:paraId="2D3FB296" w14:textId="01EEFC19" w:rsidR="00517483" w:rsidRDefault="001F7A57" w:rsidP="00AD4E9B">
      <w:pPr>
        <w:pStyle w:val="ListParagraph"/>
        <w:tabs>
          <w:tab w:val="num" w:pos="1440"/>
        </w:tabs>
        <w:ind w:left="1440"/>
        <w:rPr>
          <w:rFonts w:ascii="Times New Roman" w:hAnsi="Times New Roman"/>
        </w:rPr>
      </w:pPr>
      <w:r>
        <w:rPr>
          <w:rFonts w:ascii="Times New Roman" w:hAnsi="Times New Roman"/>
        </w:rPr>
        <w:t xml:space="preserve">The </w:t>
      </w:r>
      <w:r w:rsidR="00AD4E9B" w:rsidRPr="00AD4E9B">
        <w:rPr>
          <w:rFonts w:ascii="Times New Roman" w:hAnsi="Times New Roman"/>
        </w:rPr>
        <w:t>eCBSV</w:t>
      </w:r>
      <w:r>
        <w:rPr>
          <w:rFonts w:ascii="Times New Roman" w:hAnsi="Times New Roman"/>
        </w:rPr>
        <w:t xml:space="preserve"> </w:t>
      </w:r>
      <w:r w:rsidR="00FA4A57">
        <w:rPr>
          <w:rFonts w:ascii="Times New Roman" w:hAnsi="Times New Roman"/>
        </w:rPr>
        <w:t>service</w:t>
      </w:r>
      <w:r w:rsidR="00AD4E9B" w:rsidRPr="00AD4E9B">
        <w:rPr>
          <w:rFonts w:ascii="Times New Roman" w:hAnsi="Times New Roman"/>
        </w:rPr>
        <w:t xml:space="preserve"> is a fee-based SSN verification service that allow</w:t>
      </w:r>
      <w:r w:rsidR="00FA4A57">
        <w:rPr>
          <w:rFonts w:ascii="Times New Roman" w:hAnsi="Times New Roman"/>
        </w:rPr>
        <w:t>s</w:t>
      </w:r>
      <w:r w:rsidR="00AD4E9B" w:rsidRPr="00AD4E9B">
        <w:rPr>
          <w:rFonts w:ascii="Times New Roman" w:hAnsi="Times New Roman"/>
        </w:rPr>
        <w:t xml:space="preserve"> permitted entities to verify an individual’s SSN based on the SSN holder’s signed</w:t>
      </w:r>
      <w:r w:rsidR="00660791">
        <w:rPr>
          <w:rFonts w:ascii="Times New Roman" w:hAnsi="Times New Roman"/>
        </w:rPr>
        <w:t>, including electronic</w:t>
      </w:r>
      <w:r w:rsidR="00106206">
        <w:rPr>
          <w:rFonts w:ascii="Times New Roman" w:hAnsi="Times New Roman"/>
        </w:rPr>
        <w:t>ally signed</w:t>
      </w:r>
      <w:r w:rsidR="00660791">
        <w:rPr>
          <w:rFonts w:ascii="Times New Roman" w:hAnsi="Times New Roman"/>
        </w:rPr>
        <w:t>,</w:t>
      </w:r>
      <w:r w:rsidR="00AD4E9B" w:rsidRPr="00AD4E9B">
        <w:rPr>
          <w:rFonts w:ascii="Times New Roman" w:hAnsi="Times New Roman"/>
        </w:rPr>
        <w:t xml:space="preserve"> consent in connection with a credit transaction or any circumstance described in </w:t>
      </w:r>
      <w:r w:rsidR="003043B1">
        <w:rPr>
          <w:rFonts w:ascii="Times New Roman" w:hAnsi="Times New Roman"/>
        </w:rPr>
        <w:lastRenderedPageBreak/>
        <w:t>S</w:t>
      </w:r>
      <w:r w:rsidR="00AD4E9B" w:rsidRPr="00AD4E9B">
        <w:rPr>
          <w:rFonts w:ascii="Times New Roman" w:hAnsi="Times New Roman"/>
        </w:rPr>
        <w:t xml:space="preserve">ection </w:t>
      </w:r>
      <w:r w:rsidR="00AD4E9B" w:rsidRPr="003043B1">
        <w:rPr>
          <w:rFonts w:ascii="Times New Roman" w:hAnsi="Times New Roman"/>
          <w:i/>
        </w:rPr>
        <w:t>604</w:t>
      </w:r>
      <w:r w:rsidR="00AD4E9B" w:rsidRPr="00AD4E9B">
        <w:rPr>
          <w:rFonts w:ascii="Times New Roman" w:hAnsi="Times New Roman"/>
        </w:rPr>
        <w:t xml:space="preserve"> of the </w:t>
      </w:r>
      <w:r w:rsidR="00AD4E9B" w:rsidRPr="003043B1">
        <w:rPr>
          <w:rFonts w:ascii="Times New Roman" w:hAnsi="Times New Roman"/>
          <w:i/>
        </w:rPr>
        <w:t>Fair Credit Reporting Act</w:t>
      </w:r>
      <w:r w:rsidR="00AD4E9B" w:rsidRPr="00AD4E9B">
        <w:rPr>
          <w:rFonts w:ascii="Times New Roman" w:hAnsi="Times New Roman"/>
        </w:rPr>
        <w:t xml:space="preserve"> (</w:t>
      </w:r>
      <w:r w:rsidR="007A500C">
        <w:rPr>
          <w:rFonts w:ascii="Times New Roman" w:hAnsi="Times New Roman"/>
          <w:i/>
        </w:rPr>
        <w:t>15 </w:t>
      </w:r>
      <w:r w:rsidR="00AD4E9B" w:rsidRPr="003043B1">
        <w:rPr>
          <w:rFonts w:ascii="Times New Roman" w:hAnsi="Times New Roman"/>
          <w:i/>
        </w:rPr>
        <w:t>U</w:t>
      </w:r>
      <w:r w:rsidR="00515D3C">
        <w:rPr>
          <w:rFonts w:ascii="Times New Roman" w:hAnsi="Times New Roman"/>
          <w:i/>
        </w:rPr>
        <w:t>.</w:t>
      </w:r>
      <w:r w:rsidR="00AD4E9B" w:rsidRPr="003043B1">
        <w:rPr>
          <w:rFonts w:ascii="Times New Roman" w:hAnsi="Times New Roman"/>
          <w:i/>
        </w:rPr>
        <w:t>S</w:t>
      </w:r>
      <w:r w:rsidR="00515D3C">
        <w:rPr>
          <w:rFonts w:ascii="Times New Roman" w:hAnsi="Times New Roman"/>
          <w:i/>
        </w:rPr>
        <w:t>.</w:t>
      </w:r>
      <w:r w:rsidR="00AD4E9B" w:rsidRPr="003043B1">
        <w:rPr>
          <w:rFonts w:ascii="Times New Roman" w:hAnsi="Times New Roman"/>
          <w:i/>
        </w:rPr>
        <w:t>C</w:t>
      </w:r>
      <w:r w:rsidR="00515D3C">
        <w:rPr>
          <w:rFonts w:ascii="Times New Roman" w:hAnsi="Times New Roman"/>
          <w:i/>
        </w:rPr>
        <w:t>.</w:t>
      </w:r>
      <w:r w:rsidR="003043B1">
        <w:rPr>
          <w:rFonts w:ascii="Times New Roman" w:hAnsi="Times New Roman"/>
          <w:i/>
        </w:rPr>
        <w:t xml:space="preserve"> </w:t>
      </w:r>
      <w:r w:rsidR="00AD4E9B" w:rsidRPr="003043B1">
        <w:rPr>
          <w:rFonts w:ascii="Times New Roman" w:hAnsi="Times New Roman"/>
          <w:i/>
        </w:rPr>
        <w:t>1681</w:t>
      </w:r>
      <w:r w:rsidR="00AD4E9B" w:rsidRPr="00537A5B">
        <w:rPr>
          <w:rFonts w:ascii="Times New Roman" w:hAnsi="Times New Roman"/>
          <w:i/>
        </w:rPr>
        <w:t>b</w:t>
      </w:r>
      <w:r w:rsidR="00537A5B" w:rsidRPr="00537A5B">
        <w:rPr>
          <w:rFonts w:ascii="Times New Roman" w:hAnsi="Times New Roman"/>
          <w:i/>
        </w:rPr>
        <w:t>)</w:t>
      </w:r>
      <w:r w:rsidR="00537A5B" w:rsidRPr="00537A5B">
        <w:rPr>
          <w:rFonts w:ascii="Times New Roman" w:hAnsi="Times New Roman"/>
        </w:rPr>
        <w:t>.</w:t>
      </w:r>
      <w:r w:rsidR="000A639B">
        <w:rPr>
          <w:rFonts w:ascii="Times New Roman" w:hAnsi="Times New Roman"/>
        </w:rPr>
        <w:t xml:space="preserve">  </w:t>
      </w:r>
      <w:r w:rsidR="000A639B" w:rsidRPr="00AD4E9B">
        <w:rPr>
          <w:rFonts w:ascii="Times New Roman" w:hAnsi="Times New Roman"/>
        </w:rPr>
        <w:t xml:space="preserve">Permitted entities </w:t>
      </w:r>
      <w:r w:rsidR="00FA4A57">
        <w:rPr>
          <w:rFonts w:ascii="Times New Roman" w:hAnsi="Times New Roman"/>
        </w:rPr>
        <w:t>are</w:t>
      </w:r>
      <w:r w:rsidR="000A639B" w:rsidRPr="00AD4E9B">
        <w:rPr>
          <w:rFonts w:ascii="Times New Roman" w:hAnsi="Times New Roman"/>
        </w:rPr>
        <w:t xml:space="preserve"> able to </w:t>
      </w:r>
      <w:r w:rsidR="000A639B">
        <w:rPr>
          <w:rFonts w:ascii="Times New Roman" w:hAnsi="Times New Roman"/>
        </w:rPr>
        <w:t>complete their enrollment, electronically sign a</w:t>
      </w:r>
      <w:r w:rsidR="007A500C">
        <w:rPr>
          <w:rFonts w:ascii="Times New Roman" w:hAnsi="Times New Roman"/>
        </w:rPr>
        <w:t xml:space="preserve"> Permitted Entity Certification</w:t>
      </w:r>
      <w:r w:rsidR="00684CEB">
        <w:rPr>
          <w:rFonts w:ascii="Times New Roman" w:hAnsi="Times New Roman"/>
        </w:rPr>
        <w:t xml:space="preserve"> and eCBSV user a</w:t>
      </w:r>
      <w:r w:rsidR="000A639B">
        <w:rPr>
          <w:rFonts w:ascii="Times New Roman" w:hAnsi="Times New Roman"/>
        </w:rPr>
        <w:t xml:space="preserve">greement in the eCBSV Customer Connection portal, and pay electronically via Pay.gov.  Once approved, enrolled permitted entities will submit verification requests via </w:t>
      </w:r>
      <w:r w:rsidR="000A639B" w:rsidRPr="00AD4E9B">
        <w:rPr>
          <w:rFonts w:ascii="Times New Roman" w:hAnsi="Times New Roman"/>
        </w:rPr>
        <w:t>an application programming interface.</w:t>
      </w:r>
    </w:p>
    <w:p w14:paraId="7FB2F470" w14:textId="6389C30A" w:rsidR="00517483" w:rsidRDefault="00517483" w:rsidP="00AD4E9B">
      <w:pPr>
        <w:pStyle w:val="ListParagraph"/>
        <w:tabs>
          <w:tab w:val="num" w:pos="1440"/>
        </w:tabs>
        <w:ind w:left="1440"/>
        <w:rPr>
          <w:rFonts w:ascii="Times New Roman" w:hAnsi="Times New Roman"/>
        </w:rPr>
      </w:pPr>
    </w:p>
    <w:p w14:paraId="370C4C0C" w14:textId="77777777" w:rsidR="00660CF8" w:rsidRDefault="00660CF8" w:rsidP="00AD4E9B">
      <w:pPr>
        <w:pStyle w:val="ListParagraph"/>
        <w:tabs>
          <w:tab w:val="num" w:pos="1440"/>
        </w:tabs>
        <w:ind w:left="1440"/>
        <w:rPr>
          <w:rFonts w:ascii="Times New Roman" w:hAnsi="Times New Roman"/>
        </w:rPr>
      </w:pPr>
    </w:p>
    <w:p w14:paraId="0F5865A0" w14:textId="77777777" w:rsidR="00517483" w:rsidRPr="00517483" w:rsidRDefault="00517483" w:rsidP="009235F7">
      <w:pPr>
        <w:pStyle w:val="ListParagraph"/>
        <w:numPr>
          <w:ilvl w:val="0"/>
          <w:numId w:val="7"/>
        </w:numPr>
        <w:rPr>
          <w:rFonts w:ascii="Times New Roman" w:hAnsi="Times New Roman"/>
          <w:b/>
        </w:rPr>
      </w:pPr>
      <w:r w:rsidRPr="00517483">
        <w:rPr>
          <w:rFonts w:ascii="Times New Roman" w:hAnsi="Times New Roman"/>
          <w:b/>
        </w:rPr>
        <w:t>Background</w:t>
      </w:r>
    </w:p>
    <w:p w14:paraId="4D3F6532" w14:textId="2E4DDAFF" w:rsidR="0090768A" w:rsidRDefault="00DF5012" w:rsidP="00106206">
      <w:pPr>
        <w:pStyle w:val="ListParagraph"/>
        <w:tabs>
          <w:tab w:val="num" w:pos="1440"/>
        </w:tabs>
        <w:ind w:left="2160"/>
        <w:rPr>
          <w:rFonts w:ascii="Times New Roman" w:hAnsi="Times New Roman"/>
        </w:rPr>
      </w:pPr>
      <w:r w:rsidRPr="00DF5012">
        <w:rPr>
          <w:rFonts w:ascii="Times New Roman" w:hAnsi="Times New Roman"/>
          <w:snapToGrid/>
          <w:szCs w:val="22"/>
        </w:rPr>
        <w:t xml:space="preserve">We </w:t>
      </w:r>
      <w:r w:rsidR="00FA4A57">
        <w:rPr>
          <w:rFonts w:ascii="Times New Roman" w:hAnsi="Times New Roman"/>
          <w:snapToGrid/>
          <w:szCs w:val="22"/>
        </w:rPr>
        <w:t xml:space="preserve">created this service </w:t>
      </w:r>
      <w:r w:rsidRPr="00DF5012">
        <w:rPr>
          <w:rFonts w:ascii="Times New Roman" w:hAnsi="Times New Roman"/>
          <w:snapToGrid/>
          <w:szCs w:val="22"/>
        </w:rPr>
        <w:t xml:space="preserve">due to the </w:t>
      </w:r>
      <w:r w:rsidRPr="00DF5012">
        <w:rPr>
          <w:rFonts w:ascii="Times New Roman" w:hAnsi="Times New Roman"/>
          <w:i/>
          <w:snapToGrid/>
          <w:szCs w:val="22"/>
        </w:rPr>
        <w:t>Banking Bill</w:t>
      </w:r>
      <w:r w:rsidRPr="00DF5012">
        <w:rPr>
          <w:rFonts w:ascii="Times New Roman" w:hAnsi="Times New Roman"/>
          <w:snapToGrid/>
          <w:szCs w:val="22"/>
        </w:rPr>
        <w:t xml:space="preserve">.  </w:t>
      </w:r>
      <w:r w:rsidR="00C147A7" w:rsidRPr="00C147A7">
        <w:rPr>
          <w:rFonts w:ascii="Times New Roman" w:hAnsi="Times New Roman"/>
          <w:snapToGrid/>
          <w:szCs w:val="22"/>
        </w:rPr>
        <w:t xml:space="preserve">Permitted entities are able to submit an SSN, name, and DOB </w:t>
      </w:r>
      <w:r w:rsidR="00106206">
        <w:rPr>
          <w:rFonts w:ascii="Times New Roman" w:hAnsi="Times New Roman"/>
          <w:snapToGrid/>
          <w:szCs w:val="22"/>
        </w:rPr>
        <w:t xml:space="preserve">of the number holder in connection with a credit transaction, or any circumstances described in Section </w:t>
      </w:r>
      <w:r w:rsidR="00106206" w:rsidRPr="00106206">
        <w:rPr>
          <w:rFonts w:ascii="Times New Roman" w:hAnsi="Times New Roman"/>
          <w:i/>
          <w:snapToGrid/>
          <w:szCs w:val="22"/>
        </w:rPr>
        <w:t>604</w:t>
      </w:r>
      <w:r w:rsidR="00106206">
        <w:rPr>
          <w:rFonts w:ascii="Times New Roman" w:hAnsi="Times New Roman"/>
          <w:snapToGrid/>
          <w:szCs w:val="22"/>
        </w:rPr>
        <w:t xml:space="preserve"> of the </w:t>
      </w:r>
      <w:r w:rsidR="00106206" w:rsidRPr="00106206">
        <w:rPr>
          <w:rFonts w:ascii="Times New Roman" w:hAnsi="Times New Roman"/>
          <w:i/>
          <w:snapToGrid/>
          <w:szCs w:val="22"/>
        </w:rPr>
        <w:t>Fair Credit Reporting Act</w:t>
      </w:r>
      <w:r w:rsidR="00106206">
        <w:rPr>
          <w:rFonts w:ascii="Times New Roman" w:hAnsi="Times New Roman"/>
          <w:snapToGrid/>
          <w:szCs w:val="22"/>
        </w:rPr>
        <w:t xml:space="preserve"> </w:t>
      </w:r>
      <w:r w:rsidR="00C147A7" w:rsidRPr="00C147A7">
        <w:rPr>
          <w:rFonts w:ascii="Times New Roman" w:hAnsi="Times New Roman"/>
          <w:snapToGrid/>
          <w:szCs w:val="22"/>
        </w:rPr>
        <w:t>to SSA for verification via an application programming interface.  The purpose of the information collection is for SSA to verify for the permitted entity that the submitted SSN, name and DOB matches, or does not match, the data contained in our records.  After obtaining</w:t>
      </w:r>
      <w:r w:rsidR="00DC34D3">
        <w:rPr>
          <w:rFonts w:ascii="Times New Roman" w:hAnsi="Times New Roman"/>
          <w:snapToGrid/>
          <w:szCs w:val="22"/>
        </w:rPr>
        <w:t xml:space="preserve"> all of</w:t>
      </w:r>
      <w:r w:rsidR="00C147A7" w:rsidRPr="00C147A7">
        <w:rPr>
          <w:rFonts w:ascii="Times New Roman" w:hAnsi="Times New Roman"/>
          <w:snapToGrid/>
          <w:szCs w:val="22"/>
        </w:rPr>
        <w:t xml:space="preserve"> </w:t>
      </w:r>
      <w:r w:rsidR="00DC34D3">
        <w:rPr>
          <w:rFonts w:ascii="Times New Roman" w:hAnsi="Times New Roman"/>
          <w:snapToGrid/>
          <w:szCs w:val="22"/>
        </w:rPr>
        <w:t>the number holder</w:t>
      </w:r>
      <w:r w:rsidR="00C147A7" w:rsidRPr="00C147A7">
        <w:rPr>
          <w:rFonts w:ascii="Times New Roman" w:hAnsi="Times New Roman"/>
          <w:snapToGrid/>
          <w:szCs w:val="22"/>
        </w:rPr>
        <w:t>s</w:t>
      </w:r>
      <w:r w:rsidR="00DC34D3">
        <w:rPr>
          <w:rFonts w:ascii="Times New Roman" w:hAnsi="Times New Roman"/>
          <w:snapToGrid/>
          <w:szCs w:val="22"/>
        </w:rPr>
        <w:t>’</w:t>
      </w:r>
      <w:r w:rsidR="00C147A7" w:rsidRPr="00C147A7">
        <w:rPr>
          <w:rFonts w:ascii="Times New Roman" w:hAnsi="Times New Roman"/>
          <w:snapToGrid/>
          <w:szCs w:val="22"/>
        </w:rPr>
        <w:t xml:space="preserve"> consent</w:t>
      </w:r>
      <w:r w:rsidR="00DC34D3">
        <w:rPr>
          <w:rFonts w:ascii="Times New Roman" w:hAnsi="Times New Roman"/>
          <w:snapToGrid/>
          <w:szCs w:val="22"/>
        </w:rPr>
        <w:t>s</w:t>
      </w:r>
      <w:r w:rsidR="00C147A7" w:rsidRPr="00C147A7">
        <w:rPr>
          <w:rFonts w:ascii="Times New Roman" w:hAnsi="Times New Roman"/>
          <w:snapToGrid/>
          <w:szCs w:val="22"/>
        </w:rPr>
        <w:t xml:space="preserve">, a permitted entity submits the names, DOBs, and SSNs of number holders to the eCBSV service.  SSA matches the information against our Master File, using SSN, name, </w:t>
      </w:r>
      <w:r w:rsidR="00DC34D3">
        <w:rPr>
          <w:rFonts w:ascii="Times New Roman" w:hAnsi="Times New Roman"/>
          <w:snapToGrid/>
          <w:szCs w:val="22"/>
        </w:rPr>
        <w:t>and DOB.  The eCBSV service</w:t>
      </w:r>
      <w:r w:rsidR="00C147A7" w:rsidRPr="00C147A7">
        <w:rPr>
          <w:rFonts w:ascii="Times New Roman" w:hAnsi="Times New Roman"/>
          <w:snapToGrid/>
          <w:szCs w:val="22"/>
        </w:rPr>
        <w:t xml:space="preserve"> respond</w:t>
      </w:r>
      <w:r w:rsidR="00DC34D3">
        <w:rPr>
          <w:rFonts w:ascii="Times New Roman" w:hAnsi="Times New Roman"/>
          <w:snapToGrid/>
          <w:szCs w:val="22"/>
        </w:rPr>
        <w:t>s</w:t>
      </w:r>
      <w:r w:rsidR="00C147A7" w:rsidRPr="00C147A7">
        <w:rPr>
          <w:rFonts w:ascii="Times New Roman" w:hAnsi="Times New Roman"/>
          <w:snapToGrid/>
          <w:szCs w:val="22"/>
        </w:rPr>
        <w:t xml:space="preserve"> in real time with a match/no match indicator (and an indicator if our records show that the </w:t>
      </w:r>
      <w:r w:rsidR="00106206">
        <w:rPr>
          <w:rFonts w:ascii="Times New Roman" w:hAnsi="Times New Roman"/>
          <w:snapToGrid/>
          <w:szCs w:val="22"/>
        </w:rPr>
        <w:t>number holder</w:t>
      </w:r>
      <w:r w:rsidR="00C147A7" w:rsidRPr="00C147A7">
        <w:rPr>
          <w:rFonts w:ascii="Times New Roman" w:hAnsi="Times New Roman"/>
          <w:snapToGrid/>
          <w:szCs w:val="22"/>
        </w:rPr>
        <w:t xml:space="preserve"> died).  SSA does not provide specific information on what data elements did not match, nor does SSA provide any SSNs</w:t>
      </w:r>
      <w:r w:rsidR="00106206">
        <w:rPr>
          <w:rFonts w:ascii="Times New Roman" w:hAnsi="Times New Roman"/>
          <w:snapToGrid/>
          <w:szCs w:val="22"/>
        </w:rPr>
        <w:t xml:space="preserve"> or other identifiable information</w:t>
      </w:r>
      <w:r w:rsidR="00C147A7" w:rsidRPr="00C147A7">
        <w:rPr>
          <w:rFonts w:ascii="Times New Roman" w:hAnsi="Times New Roman"/>
          <w:snapToGrid/>
          <w:szCs w:val="22"/>
        </w:rPr>
        <w:t xml:space="preserve">.  The verification does not authenticate the identity of </w:t>
      </w:r>
      <w:r w:rsidR="00106206">
        <w:rPr>
          <w:rFonts w:ascii="Times New Roman" w:hAnsi="Times New Roman"/>
          <w:snapToGrid/>
          <w:szCs w:val="22"/>
        </w:rPr>
        <w:t>the number holders</w:t>
      </w:r>
      <w:r w:rsidR="00C147A7" w:rsidRPr="00C147A7">
        <w:rPr>
          <w:rFonts w:ascii="Times New Roman" w:hAnsi="Times New Roman"/>
          <w:snapToGrid/>
          <w:szCs w:val="22"/>
        </w:rPr>
        <w:t xml:space="preserve"> or conclusively prove the </w:t>
      </w:r>
      <w:r w:rsidR="00106206">
        <w:rPr>
          <w:rFonts w:ascii="Times New Roman" w:hAnsi="Times New Roman"/>
          <w:snapToGrid/>
          <w:szCs w:val="22"/>
        </w:rPr>
        <w:t>number holders</w:t>
      </w:r>
      <w:r w:rsidR="00C147A7" w:rsidRPr="00C147A7">
        <w:rPr>
          <w:rFonts w:ascii="Times New Roman" w:hAnsi="Times New Roman"/>
          <w:snapToGrid/>
          <w:szCs w:val="22"/>
        </w:rPr>
        <w:t xml:space="preserve"> we </w:t>
      </w:r>
      <w:r w:rsidR="00DC34D3">
        <w:rPr>
          <w:rFonts w:ascii="Times New Roman" w:hAnsi="Times New Roman"/>
          <w:snapToGrid/>
          <w:szCs w:val="22"/>
        </w:rPr>
        <w:t>verify are who they claim</w:t>
      </w:r>
      <w:r w:rsidR="00C147A7" w:rsidRPr="00C147A7">
        <w:rPr>
          <w:rFonts w:ascii="Times New Roman" w:hAnsi="Times New Roman"/>
          <w:snapToGrid/>
          <w:szCs w:val="22"/>
        </w:rPr>
        <w:t xml:space="preserve"> to be</w:t>
      </w:r>
      <w:r w:rsidR="000B4F2B">
        <w:rPr>
          <w:rFonts w:ascii="Times New Roman" w:hAnsi="Times New Roman"/>
        </w:rPr>
        <w:t>.</w:t>
      </w:r>
    </w:p>
    <w:p w14:paraId="141A003D" w14:textId="77777777" w:rsidR="0090768A" w:rsidRDefault="0090768A" w:rsidP="0090768A">
      <w:pPr>
        <w:pStyle w:val="ListParagraph"/>
        <w:tabs>
          <w:tab w:val="num" w:pos="1440"/>
        </w:tabs>
        <w:ind w:left="1440"/>
        <w:rPr>
          <w:rFonts w:ascii="Times New Roman" w:hAnsi="Times New Roman"/>
        </w:rPr>
      </w:pPr>
    </w:p>
    <w:p w14:paraId="4487EC2B" w14:textId="77777777" w:rsidR="0090768A" w:rsidRPr="0090768A" w:rsidRDefault="0090768A" w:rsidP="009235F7">
      <w:pPr>
        <w:pStyle w:val="ListParagraph"/>
        <w:numPr>
          <w:ilvl w:val="0"/>
          <w:numId w:val="7"/>
        </w:numPr>
        <w:rPr>
          <w:rFonts w:ascii="Times New Roman" w:hAnsi="Times New Roman"/>
        </w:rPr>
      </w:pPr>
      <w:r>
        <w:rPr>
          <w:rFonts w:ascii="Times New Roman" w:hAnsi="Times New Roman"/>
          <w:b/>
        </w:rPr>
        <w:t>Consent Requirements</w:t>
      </w:r>
    </w:p>
    <w:p w14:paraId="5DD1F967" w14:textId="31B364C8" w:rsidR="00027CC8" w:rsidRDefault="0053018A" w:rsidP="00106206">
      <w:pPr>
        <w:pStyle w:val="ListParagraph"/>
        <w:tabs>
          <w:tab w:val="num" w:pos="1440"/>
        </w:tabs>
        <w:ind w:left="2160"/>
        <w:rPr>
          <w:rFonts w:ascii="Times New Roman" w:hAnsi="Times New Roman"/>
        </w:rPr>
      </w:pPr>
      <w:r w:rsidRPr="0053018A">
        <w:rPr>
          <w:rFonts w:ascii="Times New Roman" w:hAnsi="Times New Roman"/>
          <w:snapToGrid/>
          <w:szCs w:val="22"/>
        </w:rPr>
        <w:t>Under the eCBSV process, the permitted entity does not submit the number holder’s consent forms to SSA.  SSA requires each permitted entity to retain a valid consent for each SSN verification request submitted for a period of 5 years.  The</w:t>
      </w:r>
      <w:r w:rsidR="00106206">
        <w:rPr>
          <w:rFonts w:ascii="Times New Roman" w:hAnsi="Times New Roman"/>
          <w:snapToGrid/>
          <w:szCs w:val="22"/>
        </w:rPr>
        <w:t xml:space="preserve"> agency permits the</w:t>
      </w:r>
      <w:r w:rsidRPr="0053018A">
        <w:rPr>
          <w:rFonts w:ascii="Times New Roman" w:hAnsi="Times New Roman"/>
          <w:snapToGrid/>
          <w:szCs w:val="22"/>
        </w:rPr>
        <w:t xml:space="preserve"> permitted entity </w:t>
      </w:r>
      <w:r w:rsidR="00106206">
        <w:rPr>
          <w:rFonts w:ascii="Times New Roman" w:hAnsi="Times New Roman"/>
          <w:snapToGrid/>
          <w:szCs w:val="22"/>
        </w:rPr>
        <w:t>to retain</w:t>
      </w:r>
      <w:r w:rsidRPr="0053018A">
        <w:rPr>
          <w:rFonts w:ascii="Times New Roman" w:hAnsi="Times New Roman"/>
          <w:snapToGrid/>
          <w:szCs w:val="22"/>
        </w:rPr>
        <w:t xml:space="preserve"> the consent in an electronic format</w:t>
      </w:r>
      <w:r w:rsidR="00027CC8">
        <w:rPr>
          <w:rFonts w:ascii="Times New Roman" w:hAnsi="Times New Roman"/>
        </w:rPr>
        <w:t>.</w:t>
      </w:r>
    </w:p>
    <w:p w14:paraId="1164C4DB" w14:textId="61E0CD43" w:rsidR="00027CC8" w:rsidRDefault="00027CC8" w:rsidP="0090768A">
      <w:pPr>
        <w:pStyle w:val="ListParagraph"/>
        <w:tabs>
          <w:tab w:val="num" w:pos="1440"/>
        </w:tabs>
        <w:ind w:left="1440"/>
        <w:rPr>
          <w:rFonts w:ascii="Times New Roman" w:hAnsi="Times New Roman"/>
        </w:rPr>
      </w:pPr>
    </w:p>
    <w:p w14:paraId="082F7D07" w14:textId="7B000399" w:rsidR="00027CC8" w:rsidRDefault="0053018A" w:rsidP="00106206">
      <w:pPr>
        <w:pStyle w:val="ListParagraph"/>
        <w:tabs>
          <w:tab w:val="num" w:pos="1440"/>
        </w:tabs>
        <w:ind w:left="2160"/>
        <w:rPr>
          <w:rFonts w:ascii="Times New Roman" w:hAnsi="Times New Roman"/>
          <w:snapToGrid/>
          <w:szCs w:val="22"/>
        </w:rPr>
      </w:pPr>
      <w:r w:rsidRPr="0053018A">
        <w:rPr>
          <w:rFonts w:ascii="Times New Roman" w:hAnsi="Times New Roman"/>
          <w:snapToGrid/>
          <w:szCs w:val="22"/>
        </w:rPr>
        <w:t>SSA requires a wet or electronic signature on the consent.  A permitted entity</w:t>
      </w:r>
      <w:r w:rsidR="00106206">
        <w:rPr>
          <w:rFonts w:ascii="Times New Roman" w:hAnsi="Times New Roman"/>
          <w:snapToGrid/>
          <w:szCs w:val="22"/>
        </w:rPr>
        <w:t xml:space="preserve"> may request verification of a number holder’s </w:t>
      </w:r>
      <w:r w:rsidRPr="0053018A">
        <w:rPr>
          <w:rFonts w:ascii="Times New Roman" w:hAnsi="Times New Roman"/>
          <w:snapToGrid/>
          <w:szCs w:val="22"/>
        </w:rPr>
        <w:t xml:space="preserve">SSN on behalf of a financial institution pursuant to the terms of the </w:t>
      </w:r>
      <w:r w:rsidRPr="0053018A">
        <w:rPr>
          <w:rFonts w:ascii="Times New Roman" w:hAnsi="Times New Roman"/>
          <w:i/>
          <w:snapToGrid/>
          <w:szCs w:val="22"/>
        </w:rPr>
        <w:t>Banking Bill</w:t>
      </w:r>
      <w:r w:rsidRPr="0053018A">
        <w:rPr>
          <w:rFonts w:ascii="Times New Roman" w:hAnsi="Times New Roman"/>
          <w:snapToGrid/>
          <w:szCs w:val="22"/>
        </w:rPr>
        <w:t xml:space="preserve">, the user agreement between SSA and the permitted entity, and the SSN Holder’s consent.  In this case, the permitted entity ensures that the financial institution agrees to the terms in the user </w:t>
      </w:r>
      <w:r w:rsidRPr="0053018A">
        <w:rPr>
          <w:rFonts w:ascii="Times New Roman" w:hAnsi="Times New Roman"/>
          <w:snapToGrid/>
          <w:szCs w:val="22"/>
        </w:rPr>
        <w:lastRenderedPageBreak/>
        <w:t>agreement, which require the</w:t>
      </w:r>
      <w:r w:rsidR="00DC34D3">
        <w:rPr>
          <w:rFonts w:ascii="Times New Roman" w:hAnsi="Times New Roman"/>
          <w:snapToGrid/>
          <w:szCs w:val="22"/>
        </w:rPr>
        <w:t xml:space="preserve"> use of SSN verification </w:t>
      </w:r>
      <w:r w:rsidRPr="0053018A">
        <w:rPr>
          <w:rFonts w:ascii="Times New Roman" w:hAnsi="Times New Roman"/>
          <w:snapToGrid/>
          <w:szCs w:val="22"/>
        </w:rPr>
        <w:t>only for the purpose stated in the consent, and prohibits entities from further using or disclosing the SSN verification.  This relationship is subject to the terms in the user agreement between SSA and the permitted entity</w:t>
      </w:r>
      <w:r w:rsidR="00027CC8">
        <w:rPr>
          <w:rFonts w:ascii="Times New Roman" w:hAnsi="Times New Roman"/>
        </w:rPr>
        <w:t>.</w:t>
      </w:r>
    </w:p>
    <w:p w14:paraId="6430317C" w14:textId="77777777" w:rsidR="00AC7FA8" w:rsidRPr="00557402" w:rsidRDefault="00AC7FA8" w:rsidP="00684720">
      <w:pPr>
        <w:tabs>
          <w:tab w:val="num" w:pos="1440"/>
        </w:tabs>
        <w:ind w:left="1440"/>
        <w:rPr>
          <w:rFonts w:ascii="Times New Roman" w:hAnsi="Times New Roman"/>
        </w:rPr>
      </w:pPr>
    </w:p>
    <w:p w14:paraId="27E73FB6" w14:textId="77777777" w:rsidR="0090768A" w:rsidRPr="0090768A" w:rsidRDefault="0090768A" w:rsidP="00DD24AC">
      <w:pPr>
        <w:pStyle w:val="ListParagraph"/>
        <w:numPr>
          <w:ilvl w:val="0"/>
          <w:numId w:val="7"/>
        </w:numPr>
        <w:tabs>
          <w:tab w:val="num" w:pos="1440"/>
        </w:tabs>
        <w:rPr>
          <w:rFonts w:ascii="Times New Roman" w:hAnsi="Times New Roman"/>
          <w:snapToGrid/>
          <w:szCs w:val="22"/>
        </w:rPr>
      </w:pPr>
      <w:r>
        <w:rPr>
          <w:rFonts w:ascii="Times New Roman" w:hAnsi="Times New Roman"/>
          <w:b/>
        </w:rPr>
        <w:t>Compliance Review</w:t>
      </w:r>
    </w:p>
    <w:p w14:paraId="6D83F58B" w14:textId="69B250EF" w:rsidR="00A83F5D" w:rsidRDefault="00C92523" w:rsidP="00106206">
      <w:pPr>
        <w:tabs>
          <w:tab w:val="num" w:pos="1440"/>
        </w:tabs>
        <w:ind w:left="2160"/>
        <w:rPr>
          <w:rFonts w:ascii="Times New Roman" w:hAnsi="Times New Roman"/>
          <w:snapToGrid/>
          <w:szCs w:val="22"/>
        </w:rPr>
      </w:pPr>
      <w:r w:rsidRPr="00C92523">
        <w:rPr>
          <w:rFonts w:ascii="Times New Roman" w:hAnsi="Times New Roman"/>
        </w:rPr>
        <w:t>SSA requires each permitted entity to undergo compliance reviews.  An SSA</w:t>
      </w:r>
      <w:r w:rsidRPr="00C92523">
        <w:rPr>
          <w:rFonts w:ascii="Times New Roman" w:hAnsi="Times New Roman"/>
        </w:rPr>
        <w:noBreakHyphen/>
        <w:t xml:space="preserve">approved certified public accountant (CPA) conducts the compliance </w:t>
      </w:r>
      <w:r w:rsidR="00DC34D3">
        <w:rPr>
          <w:rFonts w:ascii="Times New Roman" w:hAnsi="Times New Roman"/>
        </w:rPr>
        <w:t>reviews.  SSA designed t</w:t>
      </w:r>
      <w:r w:rsidRPr="00C92523">
        <w:rPr>
          <w:rFonts w:ascii="Times New Roman" w:hAnsi="Times New Roman"/>
        </w:rPr>
        <w:t xml:space="preserve">he </w:t>
      </w:r>
      <w:r w:rsidR="00DC34D3">
        <w:rPr>
          <w:rFonts w:ascii="Times New Roman" w:hAnsi="Times New Roman"/>
        </w:rPr>
        <w:t xml:space="preserve">compliance reviews </w:t>
      </w:r>
      <w:r w:rsidRPr="00C92523">
        <w:rPr>
          <w:rFonts w:ascii="Times New Roman" w:hAnsi="Times New Roman"/>
        </w:rPr>
        <w:t>to ensure that the permitted entities meet all terms and conditions of the user agreement, including that the permitted entities obtain valid consent from number holders.  The permitted entity pays all compliance review costs through the eCBSV fees.  In general, we request annual reviews with additional reviews as necessary.  The CPA follows review standards established by the American Institute of Certified Public Accountants and contained in the Generally Accepted Government Auditing Standards (GAGAS)</w:t>
      </w:r>
      <w:r w:rsidR="00A83F5D">
        <w:rPr>
          <w:rFonts w:ascii="Times New Roman" w:hAnsi="Times New Roman"/>
          <w:snapToGrid/>
          <w:szCs w:val="22"/>
        </w:rPr>
        <w:t>.</w:t>
      </w:r>
    </w:p>
    <w:p w14:paraId="7A6FB9D2" w14:textId="77777777" w:rsidR="00A83F5D" w:rsidRDefault="00A83F5D" w:rsidP="00684720">
      <w:pPr>
        <w:tabs>
          <w:tab w:val="num" w:pos="1440"/>
        </w:tabs>
        <w:ind w:left="1440"/>
        <w:rPr>
          <w:rFonts w:ascii="Times New Roman" w:hAnsi="Times New Roman"/>
          <w:snapToGrid/>
          <w:szCs w:val="22"/>
        </w:rPr>
      </w:pPr>
    </w:p>
    <w:p w14:paraId="2B38B5E3" w14:textId="5B419ADE" w:rsidR="00F55878" w:rsidRPr="00557402" w:rsidRDefault="008B2EE4" w:rsidP="00684720">
      <w:pPr>
        <w:tabs>
          <w:tab w:val="num" w:pos="1440"/>
        </w:tabs>
        <w:ind w:left="1440"/>
        <w:rPr>
          <w:rFonts w:ascii="Times New Roman" w:hAnsi="Times New Roman"/>
        </w:rPr>
      </w:pPr>
      <w:r>
        <w:rPr>
          <w:rFonts w:ascii="Times New Roman" w:hAnsi="Times New Roman"/>
          <w:snapToGrid/>
          <w:szCs w:val="22"/>
        </w:rPr>
        <w:t xml:space="preserve">The major change to this collection from </w:t>
      </w:r>
      <w:r w:rsidR="004C418C">
        <w:rPr>
          <w:rFonts w:ascii="Times New Roman" w:hAnsi="Times New Roman"/>
          <w:snapToGrid/>
          <w:szCs w:val="22"/>
        </w:rPr>
        <w:t>Phase I a</w:t>
      </w:r>
      <w:r>
        <w:rPr>
          <w:rFonts w:ascii="Times New Roman" w:hAnsi="Times New Roman"/>
          <w:snapToGrid/>
          <w:szCs w:val="22"/>
        </w:rPr>
        <w:t xml:space="preserve">pproval is the volume of responses.  When we received initial approval, </w:t>
      </w:r>
      <w:r w:rsidR="00DC34D3">
        <w:rPr>
          <w:rFonts w:ascii="Times New Roman" w:hAnsi="Times New Roman"/>
          <w:snapToGrid/>
          <w:szCs w:val="22"/>
        </w:rPr>
        <w:t xml:space="preserve">SSA </w:t>
      </w:r>
      <w:r>
        <w:rPr>
          <w:rFonts w:ascii="Times New Roman" w:hAnsi="Times New Roman"/>
          <w:snapToGrid/>
          <w:szCs w:val="22"/>
        </w:rPr>
        <w:t>only</w:t>
      </w:r>
      <w:r w:rsidR="00DC34D3">
        <w:rPr>
          <w:rFonts w:ascii="Times New Roman" w:hAnsi="Times New Roman"/>
          <w:snapToGrid/>
          <w:szCs w:val="22"/>
        </w:rPr>
        <w:t xml:space="preserve"> allowed</w:t>
      </w:r>
      <w:r>
        <w:rPr>
          <w:rFonts w:ascii="Times New Roman" w:hAnsi="Times New Roman"/>
          <w:snapToGrid/>
          <w:szCs w:val="22"/>
        </w:rPr>
        <w:t xml:space="preserve"> 10 permitted entities access to use the service with an estimated </w:t>
      </w:r>
      <w:r w:rsidR="008E524E">
        <w:rPr>
          <w:rFonts w:ascii="Times New Roman" w:hAnsi="Times New Roman"/>
          <w:snapToGrid/>
          <w:szCs w:val="22"/>
        </w:rPr>
        <w:t>307</w:t>
      </w:r>
      <w:r>
        <w:rPr>
          <w:rFonts w:ascii="Times New Roman" w:hAnsi="Times New Roman"/>
          <w:snapToGrid/>
          <w:szCs w:val="22"/>
        </w:rPr>
        <w:t xml:space="preserve">,000,000 requests.  Now, with the expanded release, we </w:t>
      </w:r>
      <w:r w:rsidR="00DC34D3">
        <w:rPr>
          <w:rFonts w:ascii="Times New Roman" w:hAnsi="Times New Roman"/>
          <w:snapToGrid/>
          <w:szCs w:val="22"/>
        </w:rPr>
        <w:t>will allow access to</w:t>
      </w:r>
      <w:r w:rsidR="00B86A29">
        <w:rPr>
          <w:rFonts w:ascii="Times New Roman" w:hAnsi="Times New Roman"/>
          <w:snapToGrid/>
          <w:szCs w:val="22"/>
        </w:rPr>
        <w:t xml:space="preserve"> 113 permitted entities with an estimated</w:t>
      </w:r>
      <w:r>
        <w:rPr>
          <w:rFonts w:ascii="Times New Roman" w:hAnsi="Times New Roman"/>
          <w:snapToGrid/>
          <w:szCs w:val="22"/>
        </w:rPr>
        <w:t xml:space="preserve"> </w:t>
      </w:r>
      <w:r w:rsidR="008E524E">
        <w:rPr>
          <w:rFonts w:ascii="Times New Roman" w:hAnsi="Times New Roman"/>
          <w:snapToGrid/>
          <w:szCs w:val="22"/>
        </w:rPr>
        <w:t>1</w:t>
      </w:r>
      <w:r>
        <w:rPr>
          <w:rFonts w:ascii="Times New Roman" w:hAnsi="Times New Roman"/>
          <w:snapToGrid/>
          <w:szCs w:val="22"/>
        </w:rPr>
        <w:t>.</w:t>
      </w:r>
      <w:r w:rsidR="008E524E">
        <w:rPr>
          <w:rFonts w:ascii="Times New Roman" w:hAnsi="Times New Roman"/>
          <w:snapToGrid/>
          <w:szCs w:val="22"/>
        </w:rPr>
        <w:t>1</w:t>
      </w:r>
      <w:r>
        <w:rPr>
          <w:rFonts w:ascii="Times New Roman" w:hAnsi="Times New Roman"/>
          <w:snapToGrid/>
          <w:szCs w:val="22"/>
        </w:rPr>
        <w:t xml:space="preserve"> billion requests.</w:t>
      </w:r>
      <w:r w:rsidR="005214F4">
        <w:rPr>
          <w:rFonts w:ascii="Times New Roman" w:hAnsi="Times New Roman"/>
          <w:snapToGrid/>
          <w:szCs w:val="22"/>
        </w:rPr>
        <w:t xml:space="preserve">  </w:t>
      </w:r>
      <w:r w:rsidR="001047EC" w:rsidRPr="001047EC">
        <w:rPr>
          <w:rFonts w:ascii="Times New Roman" w:hAnsi="Times New Roman"/>
          <w:snapToGrid/>
          <w:szCs w:val="22"/>
        </w:rPr>
        <w:t>The respondents to the eCBSV information collection are the permitted entities; members of the public who consent to SSN verifications; and CPAs who provide compliance review services</w:t>
      </w:r>
      <w:r w:rsidR="00B86A29">
        <w:rPr>
          <w:rFonts w:ascii="Times New Roman" w:hAnsi="Times New Roman"/>
        </w:rPr>
        <w:t>.</w:t>
      </w:r>
    </w:p>
    <w:p w14:paraId="39A67E09" w14:textId="77777777" w:rsidR="00A45D82" w:rsidRPr="00557402" w:rsidRDefault="00A45D82" w:rsidP="00684720">
      <w:pPr>
        <w:tabs>
          <w:tab w:val="num" w:pos="1440"/>
        </w:tabs>
        <w:ind w:left="1440"/>
        <w:rPr>
          <w:rFonts w:ascii="Times New Roman" w:hAnsi="Times New Roman"/>
        </w:rPr>
      </w:pPr>
    </w:p>
    <w:p w14:paraId="433DFE6E" w14:textId="77777777" w:rsidR="0036696D" w:rsidRPr="00DE3539" w:rsidRDefault="00A45D82" w:rsidP="00DD24AC">
      <w:pPr>
        <w:numPr>
          <w:ilvl w:val="0"/>
          <w:numId w:val="2"/>
        </w:numPr>
        <w:tabs>
          <w:tab w:val="clear" w:pos="720"/>
          <w:tab w:val="num" w:pos="1440"/>
        </w:tabs>
        <w:ind w:left="1440"/>
        <w:rPr>
          <w:rFonts w:ascii="Times New Roman" w:hAnsi="Times New Roman"/>
        </w:rPr>
      </w:pPr>
      <w:r w:rsidRPr="00557402">
        <w:rPr>
          <w:rFonts w:ascii="Times New Roman" w:hAnsi="Times New Roman"/>
          <w:b/>
        </w:rPr>
        <w:t>Use of Information Technology to Collect the Information</w:t>
      </w:r>
    </w:p>
    <w:p w14:paraId="3C568FAA" w14:textId="2A896596" w:rsidR="00B46887" w:rsidRDefault="00106937" w:rsidP="00106937">
      <w:pPr>
        <w:ind w:left="1440"/>
        <w:rPr>
          <w:rFonts w:ascii="Times New Roman" w:hAnsi="Times New Roman"/>
        </w:rPr>
      </w:pPr>
      <w:r w:rsidRPr="000A7DEE">
        <w:rPr>
          <w:rFonts w:ascii="Times New Roman" w:hAnsi="Times New Roman"/>
        </w:rPr>
        <w:t xml:space="preserve">In accordance with the </w:t>
      </w:r>
      <w:r w:rsidRPr="000B4F2B">
        <w:rPr>
          <w:rFonts w:ascii="Times New Roman" w:hAnsi="Times New Roman"/>
          <w:i/>
        </w:rPr>
        <w:t>Banking Bill</w:t>
      </w:r>
      <w:r>
        <w:rPr>
          <w:rFonts w:ascii="Times New Roman" w:hAnsi="Times New Roman"/>
        </w:rPr>
        <w:t xml:space="preserve">, </w:t>
      </w:r>
      <w:r w:rsidRPr="00106937">
        <w:rPr>
          <w:rFonts w:ascii="Times New Roman" w:hAnsi="Times New Roman"/>
        </w:rPr>
        <w:t>SSA creat</w:t>
      </w:r>
      <w:r w:rsidR="00731792">
        <w:rPr>
          <w:rFonts w:ascii="Times New Roman" w:hAnsi="Times New Roman"/>
        </w:rPr>
        <w:t xml:space="preserve">ed </w:t>
      </w:r>
      <w:r>
        <w:rPr>
          <w:rFonts w:ascii="Times New Roman" w:hAnsi="Times New Roman"/>
        </w:rPr>
        <w:t xml:space="preserve">the eCBSV </w:t>
      </w:r>
      <w:r w:rsidR="000B7FDB">
        <w:rPr>
          <w:rFonts w:ascii="Times New Roman" w:hAnsi="Times New Roman"/>
        </w:rPr>
        <w:t>service</w:t>
      </w:r>
      <w:r>
        <w:rPr>
          <w:rFonts w:ascii="Times New Roman" w:hAnsi="Times New Roman"/>
        </w:rPr>
        <w:t xml:space="preserve"> u</w:t>
      </w:r>
      <w:r w:rsidRPr="00106937">
        <w:rPr>
          <w:rFonts w:ascii="Times New Roman" w:hAnsi="Times New Roman"/>
        </w:rPr>
        <w:t>nder the agency’s Government Paperwo</w:t>
      </w:r>
      <w:r w:rsidR="00BA727A">
        <w:rPr>
          <w:rFonts w:ascii="Times New Roman" w:hAnsi="Times New Roman"/>
        </w:rPr>
        <w:t>rk Elimination Act (GPEA)</w:t>
      </w:r>
      <w:r w:rsidR="00732F94">
        <w:rPr>
          <w:rFonts w:ascii="Times New Roman" w:hAnsi="Times New Roman"/>
        </w:rPr>
        <w:t xml:space="preserve"> plan</w:t>
      </w:r>
      <w:r w:rsidR="00BA727A">
        <w:rPr>
          <w:rFonts w:ascii="Times New Roman" w:hAnsi="Times New Roman"/>
        </w:rPr>
        <w:t xml:space="preserve">.  </w:t>
      </w:r>
      <w:r w:rsidR="00234F35">
        <w:rPr>
          <w:rFonts w:ascii="Times New Roman" w:hAnsi="Times New Roman"/>
        </w:rPr>
        <w:t>Based on our data, 100</w:t>
      </w:r>
      <w:r w:rsidR="00731792">
        <w:rPr>
          <w:rFonts w:ascii="Times New Roman" w:hAnsi="Times New Roman"/>
        </w:rPr>
        <w:t>% of respondents under this OMB number use the electronic version.</w:t>
      </w:r>
      <w:r>
        <w:rPr>
          <w:rFonts w:ascii="Times New Roman" w:hAnsi="Times New Roman"/>
        </w:rPr>
        <w:t xml:space="preserve">  In addition, </w:t>
      </w:r>
      <w:r w:rsidRPr="00106937">
        <w:rPr>
          <w:rFonts w:ascii="Times New Roman" w:hAnsi="Times New Roman"/>
        </w:rPr>
        <w:t xml:space="preserve">the consent forms may </w:t>
      </w:r>
      <w:r>
        <w:rPr>
          <w:rFonts w:ascii="Times New Roman" w:hAnsi="Times New Roman"/>
        </w:rPr>
        <w:t xml:space="preserve">not be entirely electronic, but </w:t>
      </w:r>
      <w:r w:rsidRPr="00106937">
        <w:rPr>
          <w:rFonts w:ascii="Times New Roman" w:hAnsi="Times New Roman"/>
        </w:rPr>
        <w:t>the permitted entities will need to submit that information to us electronically to prove consent</w:t>
      </w:r>
      <w:r w:rsidR="000B7FDB">
        <w:rPr>
          <w:rFonts w:ascii="Times New Roman" w:hAnsi="Times New Roman"/>
        </w:rPr>
        <w:t>,</w:t>
      </w:r>
      <w:r>
        <w:rPr>
          <w:rFonts w:ascii="Times New Roman" w:hAnsi="Times New Roman"/>
        </w:rPr>
        <w:t xml:space="preserve"> if </w:t>
      </w:r>
      <w:r w:rsidR="008B3544">
        <w:rPr>
          <w:rFonts w:ascii="Times New Roman" w:hAnsi="Times New Roman"/>
        </w:rPr>
        <w:t>SSA</w:t>
      </w:r>
      <w:r w:rsidR="003B5BAF">
        <w:rPr>
          <w:rFonts w:ascii="Times New Roman" w:hAnsi="Times New Roman"/>
        </w:rPr>
        <w:t xml:space="preserve"> request</w:t>
      </w:r>
      <w:r w:rsidR="008B3544">
        <w:rPr>
          <w:rFonts w:ascii="Times New Roman" w:hAnsi="Times New Roman"/>
        </w:rPr>
        <w:t>s</w:t>
      </w:r>
      <w:r w:rsidR="003B5BAF">
        <w:rPr>
          <w:rFonts w:ascii="Times New Roman" w:hAnsi="Times New Roman"/>
        </w:rPr>
        <w:t xml:space="preserve"> it</w:t>
      </w:r>
      <w:r>
        <w:rPr>
          <w:rFonts w:ascii="Times New Roman" w:hAnsi="Times New Roman"/>
        </w:rPr>
        <w:t>.</w:t>
      </w:r>
    </w:p>
    <w:p w14:paraId="5FD22E18" w14:textId="77777777" w:rsidR="00B46887" w:rsidRPr="00557402" w:rsidRDefault="00B46887" w:rsidP="00DE3539">
      <w:pPr>
        <w:ind w:left="1440"/>
        <w:rPr>
          <w:rFonts w:ascii="Times New Roman" w:hAnsi="Times New Roman"/>
        </w:rPr>
      </w:pPr>
    </w:p>
    <w:p w14:paraId="1D3F378C" w14:textId="77777777" w:rsidR="000C1D18" w:rsidRPr="00557402" w:rsidRDefault="00A45D82" w:rsidP="003A483C">
      <w:pPr>
        <w:numPr>
          <w:ilvl w:val="0"/>
          <w:numId w:val="2"/>
        </w:numPr>
        <w:tabs>
          <w:tab w:val="clear" w:pos="720"/>
          <w:tab w:val="num" w:pos="1440"/>
        </w:tabs>
        <w:ind w:left="1440"/>
        <w:rPr>
          <w:rFonts w:ascii="Times New Roman" w:hAnsi="Times New Roman"/>
          <w:b/>
        </w:rPr>
      </w:pPr>
      <w:r w:rsidRPr="00557402">
        <w:rPr>
          <w:rFonts w:ascii="Times New Roman" w:hAnsi="Times New Roman"/>
          <w:b/>
        </w:rPr>
        <w:t xml:space="preserve">Why </w:t>
      </w:r>
      <w:r w:rsidR="000C1D18" w:rsidRPr="00557402">
        <w:rPr>
          <w:rFonts w:ascii="Times New Roman" w:hAnsi="Times New Roman"/>
          <w:b/>
        </w:rPr>
        <w:t>We Cannot Use Duplicate Information</w:t>
      </w:r>
    </w:p>
    <w:p w14:paraId="1D42ADC2" w14:textId="71A53787" w:rsidR="001A5469" w:rsidRPr="00557402" w:rsidRDefault="001A5469" w:rsidP="00684720">
      <w:pPr>
        <w:tabs>
          <w:tab w:val="num" w:pos="1440"/>
        </w:tabs>
        <w:ind w:left="1440"/>
        <w:rPr>
          <w:rFonts w:ascii="Times New Roman" w:hAnsi="Times New Roman"/>
        </w:rPr>
      </w:pPr>
      <w:r w:rsidRPr="00557402">
        <w:rPr>
          <w:rFonts w:ascii="Times New Roman" w:hAnsi="Times New Roman"/>
        </w:rPr>
        <w:t xml:space="preserve">The nature of the information we collect and the manner in which we collect it precludes duplication.  </w:t>
      </w:r>
      <w:r w:rsidR="007D4EB9">
        <w:rPr>
          <w:rFonts w:ascii="Times New Roman" w:hAnsi="Times New Roman"/>
        </w:rPr>
        <w:t>Respondents could use existing OMB-approved f</w:t>
      </w:r>
      <w:r w:rsidR="00237EAA">
        <w:rPr>
          <w:rFonts w:ascii="Times New Roman" w:hAnsi="Times New Roman"/>
        </w:rPr>
        <w:t>orms SSA-88 &amp; SSA-89 (OMB No. 0960</w:t>
      </w:r>
      <w:r w:rsidR="00237EAA">
        <w:rPr>
          <w:rFonts w:ascii="Times New Roman" w:hAnsi="Times New Roman"/>
        </w:rPr>
        <w:noBreakHyphen/>
        <w:t xml:space="preserve">0760) to </w:t>
      </w:r>
      <w:r w:rsidR="007D4EB9">
        <w:rPr>
          <w:rFonts w:ascii="Times New Roman" w:hAnsi="Times New Roman"/>
        </w:rPr>
        <w:t xml:space="preserve">provide </w:t>
      </w:r>
      <w:r w:rsidR="00237EAA">
        <w:rPr>
          <w:rFonts w:ascii="Times New Roman" w:hAnsi="Times New Roman"/>
        </w:rPr>
        <w:t>similar information</w:t>
      </w:r>
      <w:r w:rsidRPr="00557402">
        <w:rPr>
          <w:rFonts w:ascii="Times New Roman" w:hAnsi="Times New Roman"/>
        </w:rPr>
        <w:t xml:space="preserve">.  </w:t>
      </w:r>
      <w:r w:rsidR="00237EAA">
        <w:rPr>
          <w:rFonts w:ascii="Times New Roman" w:hAnsi="Times New Roman"/>
        </w:rPr>
        <w:t>However, we are creating eC</w:t>
      </w:r>
      <w:r w:rsidR="00237EAA">
        <w:rPr>
          <w:rFonts w:ascii="Times New Roman" w:hAnsi="Times New Roman"/>
        </w:rPr>
        <w:lastRenderedPageBreak/>
        <w:t>BSV to collect this information electronically</w:t>
      </w:r>
      <w:r w:rsidR="007E45FB">
        <w:rPr>
          <w:rFonts w:ascii="Times New Roman" w:hAnsi="Times New Roman"/>
        </w:rPr>
        <w:t>, so this creates a different modality of information collection rather than a duplicate one.</w:t>
      </w:r>
    </w:p>
    <w:p w14:paraId="2210B249" w14:textId="77777777" w:rsidR="00A45D82" w:rsidRPr="00557402" w:rsidRDefault="00A45D82" w:rsidP="00684720">
      <w:pPr>
        <w:pStyle w:val="Header"/>
        <w:tabs>
          <w:tab w:val="clear" w:pos="4320"/>
          <w:tab w:val="clear" w:pos="8640"/>
          <w:tab w:val="num" w:pos="1440"/>
        </w:tabs>
        <w:ind w:left="1440"/>
        <w:rPr>
          <w:rFonts w:ascii="Times New Roman" w:hAnsi="Times New Roman"/>
        </w:rPr>
      </w:pPr>
    </w:p>
    <w:p w14:paraId="759466F2" w14:textId="77777777" w:rsidR="00077E0E" w:rsidRPr="00557402" w:rsidRDefault="00077E0E" w:rsidP="003A483C">
      <w:pPr>
        <w:numPr>
          <w:ilvl w:val="0"/>
          <w:numId w:val="4"/>
        </w:numPr>
        <w:tabs>
          <w:tab w:val="clear" w:pos="360"/>
          <w:tab w:val="num" w:pos="1440"/>
        </w:tabs>
        <w:ind w:left="1440" w:hanging="720"/>
        <w:rPr>
          <w:rFonts w:ascii="Times New Roman" w:hAnsi="Times New Roman"/>
        </w:rPr>
      </w:pPr>
      <w:r w:rsidRPr="00557402">
        <w:rPr>
          <w:rFonts w:ascii="Times New Roman" w:hAnsi="Times New Roman"/>
          <w:b/>
        </w:rPr>
        <w:t>Minimizing Burden on Small Respondents</w:t>
      </w:r>
    </w:p>
    <w:p w14:paraId="593E363E" w14:textId="1870E740" w:rsidR="008F1FC1" w:rsidRPr="00557402" w:rsidRDefault="001B03AE" w:rsidP="00684720">
      <w:pPr>
        <w:tabs>
          <w:tab w:val="num" w:pos="1440"/>
        </w:tabs>
        <w:ind w:left="1440"/>
        <w:rPr>
          <w:rFonts w:ascii="Times New Roman" w:hAnsi="Times New Roman"/>
        </w:rPr>
      </w:pPr>
      <w:r w:rsidRPr="00557402">
        <w:rPr>
          <w:rFonts w:ascii="Times New Roman" w:hAnsi="Times New Roman"/>
        </w:rPr>
        <w:t>This collection does affect small businesses or other small entities.  However, if we did not impose this burden, we would be unable to verify the social security numbers of the number holders completing these forms.  We</w:t>
      </w:r>
      <w:r>
        <w:rPr>
          <w:rFonts w:ascii="Times New Roman" w:hAnsi="Times New Roman"/>
        </w:rPr>
        <w:t xml:space="preserve"> </w:t>
      </w:r>
      <w:r w:rsidRPr="00557402">
        <w:rPr>
          <w:rFonts w:ascii="Times New Roman" w:hAnsi="Times New Roman"/>
        </w:rPr>
        <w:t xml:space="preserve">minimized the burden by carefully reviewing the form and ensuring </w:t>
      </w:r>
      <w:r>
        <w:rPr>
          <w:rFonts w:ascii="Times New Roman" w:hAnsi="Times New Roman"/>
        </w:rPr>
        <w:t xml:space="preserve">we only ask small businesses and </w:t>
      </w:r>
      <w:r w:rsidRPr="00557402">
        <w:rPr>
          <w:rFonts w:ascii="Times New Roman" w:hAnsi="Times New Roman"/>
        </w:rPr>
        <w:t>entities to complete relevant and necessary questions.  There is extensive interest among the small business community for this type of service because they believe it will save them time</w:t>
      </w:r>
      <w:r w:rsidR="00064047">
        <w:rPr>
          <w:rFonts w:ascii="Times New Roman" w:hAnsi="Times New Roman"/>
        </w:rPr>
        <w:t>,</w:t>
      </w:r>
      <w:r w:rsidRPr="00557402">
        <w:rPr>
          <w:rFonts w:ascii="Times New Roman" w:hAnsi="Times New Roman"/>
        </w:rPr>
        <w:t xml:space="preserve"> and improve efficiency in verifying SSNs.  The use of </w:t>
      </w:r>
      <w:r>
        <w:rPr>
          <w:rFonts w:ascii="Times New Roman" w:hAnsi="Times New Roman"/>
        </w:rPr>
        <w:t>e</w:t>
      </w:r>
      <w:r w:rsidRPr="00557402">
        <w:rPr>
          <w:rFonts w:ascii="Times New Roman" w:hAnsi="Times New Roman"/>
        </w:rPr>
        <w:t>CBSV is voluntary</w:t>
      </w:r>
      <w:r w:rsidR="00BA727A">
        <w:rPr>
          <w:rFonts w:ascii="Times New Roman" w:hAnsi="Times New Roman"/>
        </w:rPr>
        <w:t>.</w:t>
      </w:r>
    </w:p>
    <w:p w14:paraId="42B3CAC1" w14:textId="77777777" w:rsidR="00AF2CC1" w:rsidRPr="00557402" w:rsidRDefault="00AF2CC1" w:rsidP="00684720">
      <w:pPr>
        <w:tabs>
          <w:tab w:val="num" w:pos="1440"/>
        </w:tabs>
        <w:ind w:left="1440"/>
        <w:rPr>
          <w:rFonts w:ascii="Times New Roman" w:hAnsi="Times New Roman"/>
          <w:i/>
        </w:rPr>
      </w:pPr>
    </w:p>
    <w:p w14:paraId="06762CFA" w14:textId="7CBB147D" w:rsidR="00064C18" w:rsidRPr="00557402" w:rsidRDefault="00A45D82" w:rsidP="00A734EE">
      <w:pPr>
        <w:tabs>
          <w:tab w:val="num" w:pos="1440"/>
        </w:tabs>
        <w:ind w:left="1440" w:hanging="720"/>
        <w:rPr>
          <w:rFonts w:ascii="Times New Roman" w:hAnsi="Times New Roman"/>
        </w:rPr>
      </w:pPr>
      <w:r w:rsidRPr="00557402">
        <w:rPr>
          <w:rFonts w:ascii="Times New Roman" w:hAnsi="Times New Roman"/>
          <w:b/>
        </w:rPr>
        <w:t>6.</w:t>
      </w:r>
      <w:r w:rsidRPr="00557402">
        <w:rPr>
          <w:rFonts w:ascii="Times New Roman" w:hAnsi="Times New Roman"/>
        </w:rPr>
        <w:tab/>
      </w:r>
      <w:r w:rsidRPr="00557402">
        <w:rPr>
          <w:rFonts w:ascii="Times New Roman" w:hAnsi="Times New Roman"/>
          <w:b/>
        </w:rPr>
        <w:t xml:space="preserve">Consequence of Not Collecting Information or Collecting it Less Frequently </w:t>
      </w:r>
      <w:r w:rsidR="0029639B" w:rsidRPr="00557402">
        <w:rPr>
          <w:rFonts w:ascii="Times New Roman" w:hAnsi="Times New Roman"/>
        </w:rPr>
        <w:t xml:space="preserve">If we did not collect this information, </w:t>
      </w:r>
      <w:r w:rsidR="0029639B">
        <w:rPr>
          <w:rFonts w:ascii="Times New Roman" w:hAnsi="Times New Roman"/>
        </w:rPr>
        <w:t>permitted entities</w:t>
      </w:r>
      <w:r w:rsidR="0029639B" w:rsidRPr="00557402">
        <w:rPr>
          <w:rFonts w:ascii="Times New Roman" w:hAnsi="Times New Roman"/>
        </w:rPr>
        <w:t xml:space="preserve"> would not have the ability to obtain the </w:t>
      </w:r>
      <w:r w:rsidR="003A42C3">
        <w:rPr>
          <w:rFonts w:ascii="Times New Roman" w:hAnsi="Times New Roman"/>
        </w:rPr>
        <w:t>name/</w:t>
      </w:r>
      <w:r w:rsidR="00BF3E06">
        <w:rPr>
          <w:rFonts w:ascii="Times New Roman" w:hAnsi="Times New Roman"/>
        </w:rPr>
        <w:t>DOB/</w:t>
      </w:r>
      <w:r w:rsidR="0029639B" w:rsidRPr="00557402">
        <w:rPr>
          <w:rFonts w:ascii="Times New Roman" w:hAnsi="Times New Roman"/>
        </w:rPr>
        <w:t xml:space="preserve">SSN verification they need for business purposes, </w:t>
      </w:r>
      <w:r w:rsidR="003A42C3">
        <w:rPr>
          <w:rFonts w:ascii="Times New Roman" w:hAnsi="Times New Roman"/>
        </w:rPr>
        <w:t xml:space="preserve">which is </w:t>
      </w:r>
      <w:r w:rsidR="0029639B" w:rsidRPr="00557402">
        <w:rPr>
          <w:rFonts w:ascii="Times New Roman" w:hAnsi="Times New Roman"/>
        </w:rPr>
        <w:t xml:space="preserve">a service they requested.  This would </w:t>
      </w:r>
      <w:r w:rsidR="00B61D26">
        <w:rPr>
          <w:rFonts w:ascii="Times New Roman" w:hAnsi="Times New Roman"/>
        </w:rPr>
        <w:t xml:space="preserve">also </w:t>
      </w:r>
      <w:r w:rsidR="0029639B" w:rsidRPr="00557402">
        <w:rPr>
          <w:rFonts w:ascii="Times New Roman" w:hAnsi="Times New Roman"/>
        </w:rPr>
        <w:t>increase foot traffic to SSA field offices.</w:t>
      </w:r>
      <w:r w:rsidR="003A42C3">
        <w:rPr>
          <w:rFonts w:ascii="Times New Roman" w:hAnsi="Times New Roman"/>
        </w:rPr>
        <w:t xml:space="preserve">  As well, we would not be in compliance with the relevant requirements of the </w:t>
      </w:r>
      <w:r w:rsidR="003A42C3" w:rsidRPr="003A42C3">
        <w:rPr>
          <w:rFonts w:ascii="Times New Roman" w:hAnsi="Times New Roman"/>
          <w:i/>
        </w:rPr>
        <w:t>Banking Bill</w:t>
      </w:r>
      <w:r w:rsidR="003A42C3">
        <w:rPr>
          <w:rFonts w:ascii="Times New Roman" w:hAnsi="Times New Roman"/>
        </w:rPr>
        <w:t>.</w:t>
      </w:r>
      <w:r w:rsidR="0029639B" w:rsidRPr="00557402">
        <w:rPr>
          <w:rFonts w:ascii="Times New Roman" w:hAnsi="Times New Roman"/>
        </w:rPr>
        <w:t xml:space="preserve">  Since we only collect the information once per person, we cannot collect it less frequently.</w:t>
      </w:r>
      <w:r w:rsidR="0029639B">
        <w:rPr>
          <w:rFonts w:ascii="Times New Roman" w:hAnsi="Times New Roman"/>
        </w:rPr>
        <w:t xml:space="preserve">  </w:t>
      </w:r>
      <w:r w:rsidR="0029639B" w:rsidRPr="00557402">
        <w:rPr>
          <w:rFonts w:ascii="Times New Roman" w:hAnsi="Times New Roman"/>
        </w:rPr>
        <w:t>There are no technical or legal obstacles that prevent burden reduction</w:t>
      </w:r>
      <w:r w:rsidR="00064C18" w:rsidRPr="00557402">
        <w:rPr>
          <w:rFonts w:ascii="Times New Roman" w:hAnsi="Times New Roman"/>
        </w:rPr>
        <w:t>.</w:t>
      </w:r>
    </w:p>
    <w:p w14:paraId="7EA824A5" w14:textId="374AC68F" w:rsidR="00064C18" w:rsidRDefault="00064C18" w:rsidP="00684720">
      <w:pPr>
        <w:tabs>
          <w:tab w:val="num" w:pos="1440"/>
        </w:tabs>
        <w:ind w:left="1440"/>
        <w:rPr>
          <w:rFonts w:ascii="Times New Roman" w:hAnsi="Times New Roman"/>
        </w:rPr>
      </w:pPr>
    </w:p>
    <w:p w14:paraId="4AB02887" w14:textId="77777777" w:rsidR="00684CEB" w:rsidRPr="00557402" w:rsidRDefault="00684CEB" w:rsidP="00684720">
      <w:pPr>
        <w:tabs>
          <w:tab w:val="num" w:pos="1440"/>
        </w:tabs>
        <w:ind w:left="1440"/>
        <w:rPr>
          <w:rFonts w:ascii="Times New Roman" w:hAnsi="Times New Roman"/>
        </w:rPr>
      </w:pPr>
    </w:p>
    <w:p w14:paraId="0836E66A" w14:textId="75E8B9B0" w:rsidR="00692A5E" w:rsidRDefault="00A45D82" w:rsidP="007404A5">
      <w:pPr>
        <w:pStyle w:val="CommentText"/>
        <w:ind w:firstLine="720"/>
      </w:pPr>
      <w:r w:rsidRPr="00C50BC0">
        <w:rPr>
          <w:rFonts w:ascii="Times New Roman" w:hAnsi="Times New Roman"/>
          <w:b/>
          <w:sz w:val="24"/>
          <w:szCs w:val="24"/>
        </w:rPr>
        <w:t>7.</w:t>
      </w:r>
      <w:r w:rsidRPr="00C50BC0">
        <w:rPr>
          <w:rFonts w:ascii="Times New Roman" w:hAnsi="Times New Roman"/>
          <w:sz w:val="24"/>
          <w:szCs w:val="24"/>
        </w:rPr>
        <w:tab/>
      </w:r>
      <w:r w:rsidRPr="00C50BC0">
        <w:rPr>
          <w:rFonts w:ascii="Times New Roman" w:hAnsi="Times New Roman"/>
          <w:b/>
          <w:sz w:val="24"/>
          <w:szCs w:val="24"/>
        </w:rPr>
        <w:t>Special Circumstances</w:t>
      </w:r>
    </w:p>
    <w:p w14:paraId="1274D955" w14:textId="1F790388" w:rsidR="009B5213" w:rsidRPr="00557402" w:rsidRDefault="009B5213" w:rsidP="009B5213">
      <w:pPr>
        <w:tabs>
          <w:tab w:val="num" w:pos="1440"/>
        </w:tabs>
        <w:ind w:left="1440"/>
        <w:rPr>
          <w:rFonts w:ascii="Times New Roman" w:hAnsi="Times New Roman"/>
        </w:rPr>
      </w:pPr>
      <w:r w:rsidRPr="00557402">
        <w:rPr>
          <w:rFonts w:ascii="Times New Roman" w:hAnsi="Times New Roman"/>
        </w:rPr>
        <w:t xml:space="preserve">Consent Form Retention Requirement – SSA requires participating </w:t>
      </w:r>
      <w:r>
        <w:rPr>
          <w:rFonts w:ascii="Times New Roman" w:hAnsi="Times New Roman"/>
        </w:rPr>
        <w:t>permitted entities</w:t>
      </w:r>
      <w:r w:rsidRPr="00557402">
        <w:rPr>
          <w:rFonts w:ascii="Times New Roman" w:hAnsi="Times New Roman"/>
        </w:rPr>
        <w:t xml:space="preserve"> to retain the signed consent of the individual who is the subject of the verification request for 5 years.  They do not submit the consent form to SSA.  Our primary purpose for requiring </w:t>
      </w:r>
      <w:r>
        <w:rPr>
          <w:rFonts w:ascii="Times New Roman" w:hAnsi="Times New Roman"/>
        </w:rPr>
        <w:t>permitted entities</w:t>
      </w:r>
      <w:r w:rsidRPr="00557402">
        <w:rPr>
          <w:rFonts w:ascii="Times New Roman" w:hAnsi="Times New Roman"/>
        </w:rPr>
        <w:t xml:space="preserve"> to retain consent forms for 5 years is </w:t>
      </w:r>
      <w:r>
        <w:rPr>
          <w:rFonts w:ascii="Times New Roman" w:hAnsi="Times New Roman"/>
        </w:rPr>
        <w:t>due to</w:t>
      </w:r>
      <w:r w:rsidRPr="00557402">
        <w:rPr>
          <w:rFonts w:ascii="Times New Roman" w:hAnsi="Times New Roman"/>
        </w:rPr>
        <w:t xml:space="preserve"> SSA’s need to ensure that we can obtain a copy of the consent to defend against</w:t>
      </w:r>
      <w:r>
        <w:rPr>
          <w:rFonts w:ascii="Times New Roman" w:hAnsi="Times New Roman"/>
        </w:rPr>
        <w:t>,</w:t>
      </w:r>
      <w:r w:rsidRPr="00557402">
        <w:rPr>
          <w:rFonts w:ascii="Times New Roman" w:hAnsi="Times New Roman"/>
        </w:rPr>
        <w:t xml:space="preserve"> or prosecute</w:t>
      </w:r>
      <w:r>
        <w:rPr>
          <w:rFonts w:ascii="Times New Roman" w:hAnsi="Times New Roman"/>
        </w:rPr>
        <w:t>,</w:t>
      </w:r>
      <w:r w:rsidRPr="00557402">
        <w:rPr>
          <w:rFonts w:ascii="Times New Roman" w:hAnsi="Times New Roman"/>
        </w:rPr>
        <w:t xml:space="preserve"> alleged violations of civil and criminal law.  The agency permits </w:t>
      </w:r>
      <w:r>
        <w:rPr>
          <w:rFonts w:ascii="Times New Roman" w:hAnsi="Times New Roman"/>
        </w:rPr>
        <w:t>permitted entiti</w:t>
      </w:r>
      <w:r w:rsidRPr="00557402">
        <w:rPr>
          <w:rFonts w:ascii="Times New Roman" w:hAnsi="Times New Roman"/>
        </w:rPr>
        <w:t xml:space="preserve">es to retain copies of the consent in </w:t>
      </w:r>
      <w:r>
        <w:rPr>
          <w:rFonts w:ascii="Times New Roman" w:hAnsi="Times New Roman"/>
        </w:rPr>
        <w:t xml:space="preserve">an </w:t>
      </w:r>
      <w:r w:rsidRPr="00557402">
        <w:rPr>
          <w:rFonts w:ascii="Times New Roman" w:hAnsi="Times New Roman"/>
        </w:rPr>
        <w:t>electronic format.</w:t>
      </w:r>
      <w:r>
        <w:rPr>
          <w:rFonts w:ascii="Times New Roman" w:hAnsi="Times New Roman"/>
        </w:rPr>
        <w:t xml:space="preserve">  </w:t>
      </w:r>
      <w:r w:rsidRPr="00557402">
        <w:rPr>
          <w:rFonts w:ascii="Times New Roman" w:hAnsi="Times New Roman"/>
        </w:rPr>
        <w:t xml:space="preserve">Because the Privacy Act establishes a 2-year statute of limitations that begins when the individual discovers a potential violation of the </w:t>
      </w:r>
      <w:r w:rsidRPr="0075616C">
        <w:rPr>
          <w:rFonts w:ascii="Times New Roman" w:hAnsi="Times New Roman"/>
          <w:i/>
        </w:rPr>
        <w:t>Act</w:t>
      </w:r>
      <w:r w:rsidRPr="00557402">
        <w:rPr>
          <w:rFonts w:ascii="Times New Roman" w:hAnsi="Times New Roman"/>
        </w:rPr>
        <w:t xml:space="preserve"> </w:t>
      </w:r>
      <w:r w:rsidRPr="00557402">
        <w:rPr>
          <w:rFonts w:ascii="Times New Roman" w:hAnsi="Times New Roman"/>
          <w:i/>
        </w:rPr>
        <w:t>(5 U</w:t>
      </w:r>
      <w:r w:rsidR="00515D3C">
        <w:rPr>
          <w:rFonts w:ascii="Times New Roman" w:hAnsi="Times New Roman"/>
          <w:i/>
        </w:rPr>
        <w:t>.</w:t>
      </w:r>
      <w:r w:rsidRPr="00557402">
        <w:rPr>
          <w:rFonts w:ascii="Times New Roman" w:hAnsi="Times New Roman"/>
          <w:i/>
        </w:rPr>
        <w:t>S</w:t>
      </w:r>
      <w:r w:rsidR="00515D3C">
        <w:rPr>
          <w:rFonts w:ascii="Times New Roman" w:hAnsi="Times New Roman"/>
          <w:i/>
        </w:rPr>
        <w:t>.</w:t>
      </w:r>
      <w:r w:rsidRPr="00557402">
        <w:rPr>
          <w:rFonts w:ascii="Times New Roman" w:hAnsi="Times New Roman"/>
          <w:i/>
        </w:rPr>
        <w:t>C</w:t>
      </w:r>
      <w:r w:rsidR="00515D3C">
        <w:rPr>
          <w:rFonts w:ascii="Times New Roman" w:hAnsi="Times New Roman"/>
          <w:i/>
        </w:rPr>
        <w:t>.</w:t>
      </w:r>
      <w:r w:rsidR="00E7404B">
        <w:rPr>
          <w:rFonts w:ascii="Times New Roman" w:hAnsi="Times New Roman"/>
          <w:i/>
        </w:rPr>
        <w:t xml:space="preserve"> </w:t>
      </w:r>
      <w:r w:rsidRPr="00557402">
        <w:rPr>
          <w:rFonts w:ascii="Times New Roman" w:hAnsi="Times New Roman"/>
          <w:i/>
        </w:rPr>
        <w:t>552a(g)(5))</w:t>
      </w:r>
      <w:r w:rsidRPr="00557402">
        <w:rPr>
          <w:rFonts w:ascii="Times New Roman" w:hAnsi="Times New Roman"/>
        </w:rPr>
        <w:t>, SSA must require no less than a 3</w:t>
      </w:r>
      <w:r>
        <w:rPr>
          <w:rFonts w:ascii="Times New Roman" w:hAnsi="Times New Roman"/>
        </w:rPr>
        <w:noBreakHyphen/>
      </w:r>
      <w:r w:rsidRPr="00557402">
        <w:rPr>
          <w:rFonts w:ascii="Times New Roman" w:hAnsi="Times New Roman"/>
        </w:rPr>
        <w:t xml:space="preserve">year consent retention period to ensure we can obtain a copy of the consent from the </w:t>
      </w:r>
      <w:r>
        <w:rPr>
          <w:rFonts w:ascii="Times New Roman" w:hAnsi="Times New Roman"/>
        </w:rPr>
        <w:t>permitted entity</w:t>
      </w:r>
      <w:r w:rsidRPr="00557402">
        <w:rPr>
          <w:rFonts w:ascii="Times New Roman" w:hAnsi="Times New Roman"/>
        </w:rPr>
        <w:t xml:space="preserve"> to defend against any alleged Privacy Act cause of action.  </w:t>
      </w:r>
    </w:p>
    <w:p w14:paraId="27C25E4F" w14:textId="77777777" w:rsidR="009B5213" w:rsidRPr="00557402" w:rsidRDefault="009B5213" w:rsidP="009B5213">
      <w:pPr>
        <w:tabs>
          <w:tab w:val="num" w:pos="1440"/>
        </w:tabs>
        <w:ind w:left="1440"/>
        <w:rPr>
          <w:rFonts w:ascii="Times New Roman" w:hAnsi="Times New Roman"/>
        </w:rPr>
      </w:pPr>
    </w:p>
    <w:p w14:paraId="66A8BAAA" w14:textId="7EDF0BFD" w:rsidR="009B5213" w:rsidRPr="00557402" w:rsidRDefault="009B5213" w:rsidP="009B5213">
      <w:pPr>
        <w:tabs>
          <w:tab w:val="num" w:pos="1440"/>
        </w:tabs>
        <w:ind w:left="1440"/>
        <w:rPr>
          <w:rFonts w:ascii="Times New Roman" w:hAnsi="Times New Roman"/>
        </w:rPr>
      </w:pPr>
      <w:r w:rsidRPr="00557402">
        <w:rPr>
          <w:rFonts w:ascii="Times New Roman" w:hAnsi="Times New Roman"/>
        </w:rPr>
        <w:t xml:space="preserve">In addition, other statutes of limitations applicable to criminal actions that might arise </w:t>
      </w:r>
      <w:r w:rsidRPr="00557402">
        <w:rPr>
          <w:rFonts w:ascii="Times New Roman" w:hAnsi="Times New Roman"/>
        </w:rPr>
        <w:lastRenderedPageBreak/>
        <w:t xml:space="preserve">from consent based disclosures to third parties counsel in favor of a 5-year retention period.  For example, in the event an employee of a </w:t>
      </w:r>
      <w:r>
        <w:rPr>
          <w:rFonts w:ascii="Times New Roman" w:hAnsi="Times New Roman"/>
        </w:rPr>
        <w:t>permitted entity</w:t>
      </w:r>
      <w:r w:rsidRPr="00557402">
        <w:rPr>
          <w:rFonts w:ascii="Times New Roman" w:hAnsi="Times New Roman"/>
        </w:rPr>
        <w:t xml:space="preserve"> provides fraudulent consent</w:t>
      </w:r>
      <w:r>
        <w:rPr>
          <w:rFonts w:ascii="Times New Roman" w:hAnsi="Times New Roman"/>
        </w:rPr>
        <w:t>s to the agency, or a permitted entity</w:t>
      </w:r>
      <w:r w:rsidRPr="00557402">
        <w:rPr>
          <w:rFonts w:ascii="Times New Roman" w:hAnsi="Times New Roman"/>
        </w:rPr>
        <w:t xml:space="preserve"> misrepresents the validity of a consent, Federal statutes exist in aiding investigations of fraud against the Government, including </w:t>
      </w:r>
      <w:r w:rsidRPr="00557402">
        <w:rPr>
          <w:rFonts w:ascii="Times New Roman" w:hAnsi="Times New Roman"/>
          <w:i/>
        </w:rPr>
        <w:t>18 U</w:t>
      </w:r>
      <w:r w:rsidR="00D27C2A">
        <w:rPr>
          <w:rFonts w:ascii="Times New Roman" w:hAnsi="Times New Roman"/>
          <w:i/>
        </w:rPr>
        <w:t>.</w:t>
      </w:r>
      <w:r w:rsidRPr="00557402">
        <w:rPr>
          <w:rFonts w:ascii="Times New Roman" w:hAnsi="Times New Roman"/>
          <w:i/>
        </w:rPr>
        <w:t>S</w:t>
      </w:r>
      <w:r w:rsidR="00D27C2A">
        <w:rPr>
          <w:rFonts w:ascii="Times New Roman" w:hAnsi="Times New Roman"/>
          <w:i/>
        </w:rPr>
        <w:t>.</w:t>
      </w:r>
      <w:r w:rsidR="00E7404B">
        <w:rPr>
          <w:rFonts w:ascii="Times New Roman" w:hAnsi="Times New Roman"/>
          <w:i/>
        </w:rPr>
        <w:t>C</w:t>
      </w:r>
      <w:r w:rsidR="00D27C2A">
        <w:rPr>
          <w:rFonts w:ascii="Times New Roman" w:hAnsi="Times New Roman"/>
          <w:i/>
        </w:rPr>
        <w:t>.</w:t>
      </w:r>
      <w:r w:rsidR="00E7404B">
        <w:rPr>
          <w:rFonts w:ascii="Times New Roman" w:hAnsi="Times New Roman"/>
          <w:i/>
        </w:rPr>
        <w:t xml:space="preserve"> </w:t>
      </w:r>
      <w:r w:rsidRPr="00557402">
        <w:rPr>
          <w:rFonts w:ascii="Times New Roman" w:hAnsi="Times New Roman"/>
          <w:i/>
        </w:rPr>
        <w:t>371</w:t>
      </w:r>
      <w:r w:rsidRPr="00557402">
        <w:rPr>
          <w:rFonts w:ascii="Times New Roman" w:hAnsi="Times New Roman"/>
        </w:rPr>
        <w:t xml:space="preserve"> (conspiracy to defraud the Government) and </w:t>
      </w:r>
      <w:r w:rsidRPr="00557402">
        <w:rPr>
          <w:rFonts w:ascii="Times New Roman" w:hAnsi="Times New Roman"/>
          <w:i/>
        </w:rPr>
        <w:t>18</w:t>
      </w:r>
      <w:r w:rsidRPr="00557402">
        <w:rPr>
          <w:rFonts w:ascii="Times New Roman" w:hAnsi="Times New Roman"/>
        </w:rPr>
        <w:t xml:space="preserve"> </w:t>
      </w:r>
      <w:r w:rsidRPr="00557402">
        <w:rPr>
          <w:rFonts w:ascii="Times New Roman" w:hAnsi="Times New Roman"/>
          <w:i/>
        </w:rPr>
        <w:t>U</w:t>
      </w:r>
      <w:r w:rsidR="00D27C2A">
        <w:rPr>
          <w:rFonts w:ascii="Times New Roman" w:hAnsi="Times New Roman"/>
          <w:i/>
        </w:rPr>
        <w:t>.</w:t>
      </w:r>
      <w:r w:rsidRPr="00557402">
        <w:rPr>
          <w:rFonts w:ascii="Times New Roman" w:hAnsi="Times New Roman"/>
          <w:i/>
        </w:rPr>
        <w:t>S</w:t>
      </w:r>
      <w:r w:rsidR="00D27C2A">
        <w:rPr>
          <w:rFonts w:ascii="Times New Roman" w:hAnsi="Times New Roman"/>
          <w:i/>
        </w:rPr>
        <w:t>.</w:t>
      </w:r>
      <w:r w:rsidRPr="00557402">
        <w:rPr>
          <w:rFonts w:ascii="Times New Roman" w:hAnsi="Times New Roman"/>
          <w:i/>
        </w:rPr>
        <w:t>C</w:t>
      </w:r>
      <w:r w:rsidR="00D27C2A">
        <w:rPr>
          <w:rFonts w:ascii="Times New Roman" w:hAnsi="Times New Roman"/>
          <w:i/>
        </w:rPr>
        <w:t>.</w:t>
      </w:r>
      <w:r w:rsidR="00E7404B">
        <w:rPr>
          <w:rFonts w:ascii="Times New Roman" w:hAnsi="Times New Roman"/>
          <w:i/>
        </w:rPr>
        <w:t xml:space="preserve"> </w:t>
      </w:r>
      <w:r w:rsidRPr="00557402">
        <w:rPr>
          <w:rFonts w:ascii="Times New Roman" w:hAnsi="Times New Roman"/>
          <w:i/>
        </w:rPr>
        <w:t xml:space="preserve">1001 </w:t>
      </w:r>
      <w:r w:rsidRPr="00557402">
        <w:rPr>
          <w:rFonts w:ascii="Times New Roman" w:hAnsi="Times New Roman"/>
        </w:rPr>
        <w:t>(false statements).</w:t>
      </w:r>
      <w:r>
        <w:rPr>
          <w:rFonts w:ascii="Times New Roman" w:hAnsi="Times New Roman"/>
        </w:rPr>
        <w:t xml:space="preserve">  </w:t>
      </w:r>
      <w:r w:rsidRPr="00557402">
        <w:rPr>
          <w:rFonts w:ascii="Times New Roman" w:hAnsi="Times New Roman"/>
        </w:rPr>
        <w:t>Accordingly, SSA is requiring a 5-year consent retention period to prosecute alleged violations of criminal law.  A 5-year retention period serves to reinforce the need for third parties to provide SSA with accurate and valid consent as a critical requirement.</w:t>
      </w:r>
    </w:p>
    <w:p w14:paraId="720DEDE9" w14:textId="77777777" w:rsidR="009B5213" w:rsidRPr="00557402" w:rsidRDefault="009B5213" w:rsidP="009B5213">
      <w:pPr>
        <w:tabs>
          <w:tab w:val="num" w:pos="1440"/>
        </w:tabs>
        <w:ind w:left="1440"/>
        <w:rPr>
          <w:rFonts w:ascii="Times New Roman" w:hAnsi="Times New Roman"/>
          <w:b/>
        </w:rPr>
      </w:pPr>
    </w:p>
    <w:p w14:paraId="0CC9106A" w14:textId="1B6D01E7" w:rsidR="00064C18" w:rsidRDefault="009B5213" w:rsidP="009B5213">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Cs w:val="0"/>
        </w:rPr>
      </w:pPr>
      <w:r w:rsidRPr="00557402">
        <w:rPr>
          <w:rFonts w:ascii="Times New Roman" w:hAnsi="Times New Roman"/>
          <w:b w:val="0"/>
          <w:i w:val="0"/>
        </w:rPr>
        <w:t xml:space="preserve">There are no </w:t>
      </w:r>
      <w:r>
        <w:rPr>
          <w:rFonts w:ascii="Times New Roman" w:hAnsi="Times New Roman"/>
          <w:b w:val="0"/>
          <w:i w:val="0"/>
        </w:rPr>
        <w:t xml:space="preserve">other </w:t>
      </w:r>
      <w:r w:rsidRPr="00557402">
        <w:rPr>
          <w:rFonts w:ascii="Times New Roman" w:hAnsi="Times New Roman"/>
          <w:b w:val="0"/>
          <w:i w:val="0"/>
        </w:rPr>
        <w:t xml:space="preserve">special circumstances that would cause SSA to conduct this information collection in a manner inconsistent with </w:t>
      </w:r>
      <w:r w:rsidRPr="00557402">
        <w:rPr>
          <w:rFonts w:ascii="Times New Roman" w:hAnsi="Times New Roman"/>
          <w:b w:val="0"/>
          <w:iCs w:val="0"/>
        </w:rPr>
        <w:t>5 CFR 1320.5</w:t>
      </w:r>
      <w:r w:rsidR="00064C18" w:rsidRPr="00557402">
        <w:rPr>
          <w:rFonts w:ascii="Times New Roman" w:hAnsi="Times New Roman"/>
          <w:b w:val="0"/>
          <w:iCs w:val="0"/>
        </w:rPr>
        <w:t>.</w:t>
      </w:r>
    </w:p>
    <w:p w14:paraId="188776FF" w14:textId="77777777" w:rsidR="00064C18" w:rsidRPr="00557402" w:rsidRDefault="00064C18" w:rsidP="00684720">
      <w:pPr>
        <w:tabs>
          <w:tab w:val="num" w:pos="1440"/>
        </w:tabs>
        <w:ind w:left="1440"/>
        <w:rPr>
          <w:rFonts w:ascii="Times New Roman" w:hAnsi="Times New Roman"/>
        </w:rPr>
      </w:pPr>
    </w:p>
    <w:p w14:paraId="1FECC8DD" w14:textId="77777777" w:rsidR="00CC6C41" w:rsidRPr="00557402" w:rsidRDefault="00A45D82" w:rsidP="005D6C1C">
      <w:pPr>
        <w:numPr>
          <w:ilvl w:val="0"/>
          <w:numId w:val="1"/>
        </w:numPr>
        <w:tabs>
          <w:tab w:val="clear" w:pos="720"/>
          <w:tab w:val="num" w:pos="1440"/>
        </w:tabs>
        <w:ind w:left="1440"/>
        <w:rPr>
          <w:rFonts w:ascii="Times New Roman" w:hAnsi="Times New Roman"/>
        </w:rPr>
      </w:pPr>
      <w:r w:rsidRPr="00557402">
        <w:rPr>
          <w:rFonts w:ascii="Times New Roman" w:hAnsi="Times New Roman"/>
          <w:b/>
        </w:rPr>
        <w:t xml:space="preserve">Solicitation of Public Comment and Other Consultations with the Public </w:t>
      </w:r>
    </w:p>
    <w:p w14:paraId="63DE378C" w14:textId="6C75EB5C" w:rsidR="00CC6C41" w:rsidRPr="00557402" w:rsidRDefault="00B07776" w:rsidP="000822FC">
      <w:pPr>
        <w:tabs>
          <w:tab w:val="num" w:pos="1440"/>
        </w:tabs>
        <w:ind w:left="1440"/>
        <w:rPr>
          <w:rFonts w:ascii="Times New Roman" w:hAnsi="Times New Roman"/>
        </w:rPr>
      </w:pPr>
      <w:r w:rsidRPr="00B07776">
        <w:rPr>
          <w:rFonts w:ascii="Times New Roman" w:hAnsi="Times New Roman"/>
        </w:rPr>
        <w:t xml:space="preserve">The 60-day advance Federal Register Notice published on </w:t>
      </w:r>
      <w:r w:rsidR="0090678E">
        <w:rPr>
          <w:rFonts w:ascii="Times New Roman" w:hAnsi="Times New Roman"/>
        </w:rPr>
        <w:t>November 30, 2020</w:t>
      </w:r>
      <w:r w:rsidRPr="00B07776">
        <w:rPr>
          <w:rFonts w:ascii="Times New Roman" w:hAnsi="Times New Roman"/>
        </w:rPr>
        <w:t xml:space="preserve"> at </w:t>
      </w:r>
      <w:r w:rsidR="0090678E">
        <w:rPr>
          <w:rFonts w:ascii="Times New Roman" w:hAnsi="Times New Roman"/>
        </w:rPr>
        <w:t>85</w:t>
      </w:r>
      <w:r w:rsidRPr="00B07776">
        <w:rPr>
          <w:rFonts w:ascii="Times New Roman" w:hAnsi="Times New Roman"/>
        </w:rPr>
        <w:t xml:space="preserve"> FR </w:t>
      </w:r>
      <w:r w:rsidR="0090678E">
        <w:rPr>
          <w:rFonts w:ascii="Times New Roman" w:hAnsi="Times New Roman"/>
        </w:rPr>
        <w:t>76649</w:t>
      </w:r>
      <w:r w:rsidRPr="00B07776">
        <w:rPr>
          <w:rFonts w:ascii="Times New Roman" w:hAnsi="Times New Roman"/>
        </w:rPr>
        <w:t xml:space="preserve">, and we received </w:t>
      </w:r>
      <w:r w:rsidR="00684CEB">
        <w:rPr>
          <w:rFonts w:ascii="Times New Roman" w:hAnsi="Times New Roman"/>
        </w:rPr>
        <w:t>five</w:t>
      </w:r>
      <w:r w:rsidRPr="00B07776">
        <w:rPr>
          <w:rFonts w:ascii="Times New Roman" w:hAnsi="Times New Roman"/>
        </w:rPr>
        <w:t xml:space="preserve"> comments.  </w:t>
      </w:r>
      <w:r w:rsidR="004654F5">
        <w:rPr>
          <w:rFonts w:ascii="Times New Roman" w:hAnsi="Times New Roman"/>
        </w:rPr>
        <w:t xml:space="preserve">See attached Addendum to the Supporting Statement for a summary of the comments, and our responses to them.  </w:t>
      </w:r>
      <w:r w:rsidRPr="00B07776">
        <w:rPr>
          <w:rFonts w:ascii="Times New Roman" w:hAnsi="Times New Roman"/>
        </w:rPr>
        <w:t xml:space="preserve">The 30-day FRN published on </w:t>
      </w:r>
      <w:r w:rsidR="00617562">
        <w:rPr>
          <w:rFonts w:ascii="Times New Roman" w:hAnsi="Times New Roman"/>
        </w:rPr>
        <w:t>April 5, 2021 at 86 F</w:t>
      </w:r>
      <w:r w:rsidRPr="00B07776">
        <w:rPr>
          <w:rFonts w:ascii="Times New Roman" w:hAnsi="Times New Roman"/>
        </w:rPr>
        <w:t xml:space="preserve">R </w:t>
      </w:r>
      <w:r w:rsidR="00617562">
        <w:rPr>
          <w:rFonts w:ascii="Times New Roman" w:hAnsi="Times New Roman"/>
        </w:rPr>
        <w:t>17664</w:t>
      </w:r>
      <w:r w:rsidRPr="00B07776">
        <w:rPr>
          <w:rFonts w:ascii="Times New Roman" w:hAnsi="Times New Roman"/>
        </w:rPr>
        <w:t>.  If we receive any comments in response to this Notice, we will forward them to OMB</w:t>
      </w:r>
      <w:r w:rsidR="00A734EE" w:rsidRPr="00735D63">
        <w:rPr>
          <w:rFonts w:ascii="Times New Roman" w:hAnsi="Times New Roman"/>
        </w:rPr>
        <w:t>.</w:t>
      </w:r>
    </w:p>
    <w:p w14:paraId="5F05EE31" w14:textId="77777777" w:rsidR="00FD549D" w:rsidRPr="00557402" w:rsidRDefault="00FD549D" w:rsidP="00684720">
      <w:pPr>
        <w:tabs>
          <w:tab w:val="num" w:pos="1440"/>
        </w:tabs>
        <w:ind w:left="1440"/>
        <w:rPr>
          <w:rFonts w:ascii="Times New Roman" w:hAnsi="Times New Roman"/>
        </w:rPr>
      </w:pPr>
    </w:p>
    <w:p w14:paraId="018FC311" w14:textId="77777777" w:rsidR="00640A26" w:rsidRPr="00557402" w:rsidRDefault="00A45D82" w:rsidP="005D6C1C">
      <w:pPr>
        <w:numPr>
          <w:ilvl w:val="0"/>
          <w:numId w:val="1"/>
        </w:numPr>
        <w:tabs>
          <w:tab w:val="clear" w:pos="720"/>
          <w:tab w:val="num" w:pos="1440"/>
        </w:tabs>
        <w:ind w:left="1440"/>
        <w:rPr>
          <w:rFonts w:ascii="Times New Roman" w:hAnsi="Times New Roman"/>
          <w:b/>
        </w:rPr>
      </w:pPr>
      <w:r w:rsidRPr="00557402">
        <w:rPr>
          <w:rFonts w:ascii="Times New Roman" w:hAnsi="Times New Roman"/>
          <w:b/>
        </w:rPr>
        <w:t>Payment or Gifts to Respondents</w:t>
      </w:r>
    </w:p>
    <w:p w14:paraId="033B20EC" w14:textId="77777777" w:rsidR="000E2747" w:rsidRPr="00557402" w:rsidRDefault="000E2747" w:rsidP="00684720">
      <w:pPr>
        <w:tabs>
          <w:tab w:val="num" w:pos="1440"/>
        </w:tabs>
        <w:ind w:left="1440"/>
        <w:rPr>
          <w:rFonts w:ascii="Times New Roman" w:hAnsi="Times New Roman"/>
        </w:rPr>
      </w:pPr>
      <w:r w:rsidRPr="00557402">
        <w:rPr>
          <w:rFonts w:ascii="Times New Roman" w:hAnsi="Times New Roman"/>
        </w:rPr>
        <w:t>SSA does not provide payment or gifts to the respondents.</w:t>
      </w:r>
    </w:p>
    <w:p w14:paraId="0E6AA4A0" w14:textId="77777777" w:rsidR="003057AC" w:rsidRPr="00557402" w:rsidRDefault="003057AC" w:rsidP="00684720">
      <w:pPr>
        <w:tabs>
          <w:tab w:val="num" w:pos="1440"/>
        </w:tabs>
        <w:ind w:left="1440"/>
        <w:rPr>
          <w:rFonts w:ascii="Times New Roman" w:hAnsi="Times New Roman"/>
        </w:rPr>
      </w:pPr>
    </w:p>
    <w:p w14:paraId="2C3A5784" w14:textId="77777777" w:rsidR="00795BAB" w:rsidRPr="00557402" w:rsidRDefault="00A45D82" w:rsidP="005D6C1C">
      <w:pPr>
        <w:numPr>
          <w:ilvl w:val="0"/>
          <w:numId w:val="1"/>
        </w:numPr>
        <w:tabs>
          <w:tab w:val="clear" w:pos="720"/>
          <w:tab w:val="num" w:pos="1440"/>
        </w:tabs>
        <w:ind w:left="1440"/>
        <w:rPr>
          <w:rFonts w:ascii="Times New Roman" w:hAnsi="Times New Roman"/>
          <w:b/>
        </w:rPr>
      </w:pPr>
      <w:r w:rsidRPr="00557402">
        <w:rPr>
          <w:rFonts w:ascii="Times New Roman" w:hAnsi="Times New Roman"/>
          <w:b/>
        </w:rPr>
        <w:t>Assurances of Confidentiality</w:t>
      </w:r>
    </w:p>
    <w:p w14:paraId="553C35C9" w14:textId="77777777" w:rsidR="000E2747" w:rsidRPr="00557402" w:rsidRDefault="003020AE" w:rsidP="00684720">
      <w:pPr>
        <w:tabs>
          <w:tab w:val="num" w:pos="1440"/>
        </w:tabs>
        <w:ind w:left="1440"/>
        <w:rPr>
          <w:rFonts w:ascii="Times New Roman" w:hAnsi="Times New Roman"/>
        </w:rPr>
      </w:pPr>
      <w:r w:rsidRPr="003020AE">
        <w:rPr>
          <w:rFonts w:ascii="Times New Roman" w:hAnsi="Times New Roman"/>
        </w:rPr>
        <w:t xml:space="preserve">SSA protects and holds confidential the information it collects in accordance with </w:t>
      </w:r>
      <w:r w:rsidRPr="003020AE">
        <w:rPr>
          <w:rFonts w:ascii="Times New Roman" w:hAnsi="Times New Roman"/>
          <w:i/>
        </w:rPr>
        <w:t>42 U.S.C. 1306, 20 CFR 401</w:t>
      </w:r>
      <w:r w:rsidRPr="003020AE">
        <w:rPr>
          <w:rFonts w:ascii="Times New Roman" w:hAnsi="Times New Roman"/>
        </w:rPr>
        <w:t xml:space="preserve"> and </w:t>
      </w:r>
      <w:r w:rsidRPr="003020AE">
        <w:rPr>
          <w:rFonts w:ascii="Times New Roman" w:hAnsi="Times New Roman"/>
          <w:i/>
        </w:rPr>
        <w:t>402, 5 U.S.C. 552</w:t>
      </w:r>
      <w:r w:rsidRPr="003020AE">
        <w:rPr>
          <w:rFonts w:ascii="Times New Roman" w:hAnsi="Times New Roman"/>
        </w:rPr>
        <w:t xml:space="preserve"> (Freedom of Information Act), </w:t>
      </w:r>
      <w:r w:rsidRPr="003020AE">
        <w:rPr>
          <w:rFonts w:ascii="Times New Roman" w:hAnsi="Times New Roman"/>
          <w:i/>
        </w:rPr>
        <w:t>5 U.S.C. 552a</w:t>
      </w:r>
      <w:r w:rsidRPr="003020AE">
        <w:rPr>
          <w:rFonts w:ascii="Times New Roman" w:hAnsi="Times New Roman"/>
        </w:rPr>
        <w:t xml:space="preserve"> (Privacy Act of 1974), and OMB Circular No. A-130</w:t>
      </w:r>
      <w:r w:rsidR="000E2747" w:rsidRPr="00557402">
        <w:rPr>
          <w:rFonts w:ascii="Times New Roman" w:hAnsi="Times New Roman"/>
        </w:rPr>
        <w:t>.</w:t>
      </w:r>
    </w:p>
    <w:p w14:paraId="01E84584" w14:textId="77777777" w:rsidR="000E2747" w:rsidRPr="00557402" w:rsidRDefault="000E2747" w:rsidP="00684720">
      <w:pPr>
        <w:tabs>
          <w:tab w:val="num" w:pos="1440"/>
        </w:tabs>
        <w:ind w:left="1440"/>
        <w:rPr>
          <w:rFonts w:ascii="Times New Roman" w:hAnsi="Times New Roman"/>
        </w:rPr>
      </w:pPr>
    </w:p>
    <w:p w14:paraId="46BF7A85" w14:textId="77777777" w:rsidR="00D0011E" w:rsidRPr="00557402" w:rsidRDefault="00A45D82" w:rsidP="005D6C1C">
      <w:pPr>
        <w:numPr>
          <w:ilvl w:val="0"/>
          <w:numId w:val="1"/>
        </w:numPr>
        <w:tabs>
          <w:tab w:val="clear" w:pos="720"/>
          <w:tab w:val="num" w:pos="1440"/>
        </w:tabs>
        <w:ind w:left="1440"/>
        <w:rPr>
          <w:rFonts w:ascii="Times New Roman" w:hAnsi="Times New Roman"/>
          <w:b/>
        </w:rPr>
      </w:pPr>
      <w:r w:rsidRPr="00557402">
        <w:rPr>
          <w:rFonts w:ascii="Times New Roman" w:hAnsi="Times New Roman"/>
          <w:b/>
        </w:rPr>
        <w:t>Justification for Sensitive Questions</w:t>
      </w:r>
    </w:p>
    <w:p w14:paraId="3ACC288B" w14:textId="77777777" w:rsidR="000E2747" w:rsidRPr="00557402" w:rsidRDefault="000E2747" w:rsidP="00684720">
      <w:pPr>
        <w:tabs>
          <w:tab w:val="num" w:pos="1440"/>
        </w:tabs>
        <w:ind w:left="1440"/>
        <w:rPr>
          <w:rFonts w:ascii="Times New Roman" w:hAnsi="Times New Roman"/>
        </w:rPr>
      </w:pPr>
      <w:r w:rsidRPr="00557402">
        <w:rPr>
          <w:rFonts w:ascii="Times New Roman" w:hAnsi="Times New Roman"/>
        </w:rPr>
        <w:t>The information collection does not contain any questions of a sensitive nature.</w:t>
      </w:r>
    </w:p>
    <w:p w14:paraId="453C4060" w14:textId="77777777" w:rsidR="008472AB" w:rsidRDefault="008472AB" w:rsidP="00684720">
      <w:pPr>
        <w:tabs>
          <w:tab w:val="num" w:pos="1440"/>
        </w:tabs>
        <w:ind w:left="1440"/>
        <w:rPr>
          <w:rFonts w:ascii="Times New Roman" w:hAnsi="Times New Roman"/>
        </w:rPr>
      </w:pPr>
    </w:p>
    <w:p w14:paraId="34DF9145" w14:textId="32CAF91A" w:rsidR="004959A9" w:rsidRPr="00684CEB" w:rsidRDefault="00A45D82" w:rsidP="00B818F3">
      <w:pPr>
        <w:numPr>
          <w:ilvl w:val="0"/>
          <w:numId w:val="1"/>
        </w:numPr>
        <w:tabs>
          <w:tab w:val="clear" w:pos="720"/>
          <w:tab w:val="num" w:pos="1440"/>
        </w:tabs>
        <w:ind w:left="1440"/>
        <w:rPr>
          <w:rFonts w:ascii="Times New Roman" w:hAnsi="Times New Roman"/>
          <w:b/>
        </w:rPr>
      </w:pPr>
      <w:r w:rsidRPr="00557402">
        <w:rPr>
          <w:rFonts w:ascii="Times New Roman" w:hAnsi="Times New Roman"/>
          <w:b/>
        </w:rPr>
        <w:t>Estimates of Public Reporting Burden</w:t>
      </w:r>
      <w:r w:rsidR="00EC76F5">
        <w:rPr>
          <w:rFonts w:ascii="Times New Roman" w:hAnsi="Times New Roman"/>
          <w:b/>
        </w:rPr>
        <w:br/>
      </w:r>
      <w:r w:rsidR="00EC76F5" w:rsidRPr="00EC76F5">
        <w:rPr>
          <w:rFonts w:ascii="Times New Roman" w:hAnsi="Times New Roman"/>
        </w:rPr>
        <w:t>Please see the burden chart below:</w:t>
      </w:r>
    </w:p>
    <w:p w14:paraId="240A0230" w14:textId="77777777" w:rsidR="004959A9" w:rsidRDefault="004959A9" w:rsidP="00B818F3">
      <w:pPr>
        <w:rPr>
          <w:rFonts w:ascii="Times New Roman" w:hAnsi="Times New Roman"/>
          <w:b/>
        </w:rPr>
      </w:pPr>
    </w:p>
    <w:tbl>
      <w:tblPr>
        <w:tblW w:w="105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1596"/>
        <w:gridCol w:w="1310"/>
        <w:gridCol w:w="1247"/>
        <w:gridCol w:w="1344"/>
        <w:gridCol w:w="1401"/>
        <w:gridCol w:w="1956"/>
      </w:tblGrid>
      <w:tr w:rsidR="00B818F3" w:rsidRPr="00B818F3" w14:paraId="42855998" w14:textId="77777777" w:rsidTr="007B7E35">
        <w:tc>
          <w:tcPr>
            <w:tcW w:w="1837" w:type="dxa"/>
          </w:tcPr>
          <w:p w14:paraId="04F10DFE" w14:textId="77777777" w:rsidR="00B818F3" w:rsidRPr="007B7E35" w:rsidRDefault="00B818F3" w:rsidP="00B818F3">
            <w:pPr>
              <w:widowControl/>
              <w:spacing w:after="160" w:line="259" w:lineRule="auto"/>
              <w:rPr>
                <w:rFonts w:ascii="Times New Roman" w:eastAsia="Calibri" w:hAnsi="Times New Roman"/>
                <w:b/>
                <w:snapToGrid/>
              </w:rPr>
            </w:pPr>
            <w:r w:rsidRPr="007B7E35">
              <w:rPr>
                <w:rFonts w:ascii="Times New Roman" w:eastAsia="Calibri" w:hAnsi="Times New Roman"/>
                <w:b/>
                <w:snapToGrid/>
              </w:rPr>
              <w:t>Requirement</w:t>
            </w:r>
          </w:p>
        </w:tc>
        <w:tc>
          <w:tcPr>
            <w:tcW w:w="1494" w:type="dxa"/>
          </w:tcPr>
          <w:p w14:paraId="2EB28D89" w14:textId="77777777" w:rsidR="00B818F3" w:rsidRPr="007B7E35" w:rsidRDefault="00B818F3" w:rsidP="00B818F3">
            <w:pPr>
              <w:widowControl/>
              <w:spacing w:after="160" w:line="259" w:lineRule="auto"/>
              <w:rPr>
                <w:rFonts w:ascii="Times New Roman" w:eastAsia="Calibri" w:hAnsi="Times New Roman"/>
                <w:b/>
                <w:snapToGrid/>
              </w:rPr>
            </w:pPr>
            <w:r w:rsidRPr="007B7E35">
              <w:rPr>
                <w:rFonts w:ascii="Times New Roman" w:eastAsia="Calibri" w:hAnsi="Times New Roman"/>
                <w:b/>
                <w:snapToGrid/>
              </w:rPr>
              <w:t>Number of Respondents</w:t>
            </w:r>
          </w:p>
        </w:tc>
        <w:tc>
          <w:tcPr>
            <w:tcW w:w="1230" w:type="dxa"/>
          </w:tcPr>
          <w:p w14:paraId="12EC8675" w14:textId="77777777" w:rsidR="00B818F3" w:rsidRPr="007B7E35" w:rsidRDefault="00B818F3" w:rsidP="00B818F3">
            <w:pPr>
              <w:widowControl/>
              <w:spacing w:after="160" w:line="259" w:lineRule="auto"/>
              <w:rPr>
                <w:rFonts w:ascii="Times New Roman" w:eastAsia="Calibri" w:hAnsi="Times New Roman"/>
                <w:b/>
                <w:snapToGrid/>
              </w:rPr>
            </w:pPr>
            <w:r w:rsidRPr="007B7E35">
              <w:rPr>
                <w:rFonts w:ascii="Times New Roman" w:eastAsia="Calibri" w:hAnsi="Times New Roman"/>
                <w:b/>
                <w:snapToGrid/>
              </w:rPr>
              <w:t>Frequency of Response</w:t>
            </w:r>
          </w:p>
        </w:tc>
        <w:tc>
          <w:tcPr>
            <w:tcW w:w="1327" w:type="dxa"/>
          </w:tcPr>
          <w:p w14:paraId="16EEE723" w14:textId="77777777" w:rsidR="00B818F3" w:rsidRPr="007B7E35" w:rsidRDefault="00B818F3" w:rsidP="00B818F3">
            <w:pPr>
              <w:widowControl/>
              <w:spacing w:after="160" w:line="259" w:lineRule="auto"/>
              <w:rPr>
                <w:rFonts w:ascii="Times New Roman" w:eastAsia="Calibri" w:hAnsi="Times New Roman"/>
                <w:b/>
                <w:snapToGrid/>
              </w:rPr>
            </w:pPr>
            <w:r w:rsidRPr="007B7E35">
              <w:rPr>
                <w:rFonts w:ascii="Times New Roman" w:eastAsia="Calibri" w:hAnsi="Times New Roman"/>
                <w:b/>
                <w:snapToGrid/>
              </w:rPr>
              <w:t xml:space="preserve">Average Burden per </w:t>
            </w:r>
            <w:r w:rsidRPr="007B7E35">
              <w:rPr>
                <w:rFonts w:ascii="Times New Roman" w:eastAsia="Calibri" w:hAnsi="Times New Roman"/>
                <w:b/>
                <w:snapToGrid/>
              </w:rPr>
              <w:lastRenderedPageBreak/>
              <w:t>Response (minutes)</w:t>
            </w:r>
          </w:p>
        </w:tc>
        <w:tc>
          <w:tcPr>
            <w:tcW w:w="1413" w:type="dxa"/>
          </w:tcPr>
          <w:p w14:paraId="6625D8C5" w14:textId="77777777" w:rsidR="00B818F3" w:rsidRPr="007B7E35" w:rsidRDefault="00B818F3" w:rsidP="00B818F3">
            <w:pPr>
              <w:widowControl/>
              <w:spacing w:after="160" w:line="259" w:lineRule="auto"/>
              <w:rPr>
                <w:rFonts w:ascii="Times New Roman" w:eastAsia="Calibri" w:hAnsi="Times New Roman"/>
                <w:b/>
                <w:snapToGrid/>
              </w:rPr>
            </w:pPr>
            <w:r w:rsidRPr="007B7E35">
              <w:rPr>
                <w:rFonts w:ascii="Times New Roman" w:eastAsia="Calibri" w:hAnsi="Times New Roman"/>
                <w:b/>
                <w:snapToGrid/>
              </w:rPr>
              <w:lastRenderedPageBreak/>
              <w:t xml:space="preserve">Estimated Total Annual </w:t>
            </w:r>
            <w:r w:rsidRPr="007B7E35">
              <w:rPr>
                <w:rFonts w:ascii="Times New Roman" w:eastAsia="Calibri" w:hAnsi="Times New Roman"/>
                <w:b/>
                <w:snapToGrid/>
              </w:rPr>
              <w:lastRenderedPageBreak/>
              <w:t>Burden (hours)</w:t>
            </w:r>
          </w:p>
        </w:tc>
        <w:tc>
          <w:tcPr>
            <w:tcW w:w="1418" w:type="dxa"/>
          </w:tcPr>
          <w:p w14:paraId="54F9DA1A" w14:textId="77777777" w:rsidR="00B818F3" w:rsidRPr="007B7E35" w:rsidRDefault="00B818F3" w:rsidP="00B818F3">
            <w:pPr>
              <w:widowControl/>
              <w:spacing w:after="160" w:line="259" w:lineRule="auto"/>
              <w:rPr>
                <w:rFonts w:ascii="Times New Roman" w:eastAsia="Calibri" w:hAnsi="Times New Roman"/>
                <w:b/>
                <w:snapToGrid/>
              </w:rPr>
            </w:pPr>
            <w:r w:rsidRPr="007B7E35">
              <w:rPr>
                <w:rFonts w:ascii="Times New Roman" w:eastAsia="Calibri" w:hAnsi="Times New Roman"/>
                <w:b/>
                <w:snapToGrid/>
              </w:rPr>
              <w:lastRenderedPageBreak/>
              <w:t xml:space="preserve">Average Theoretical Hourly Cost </w:t>
            </w:r>
            <w:r w:rsidRPr="007B7E35">
              <w:rPr>
                <w:rFonts w:ascii="Times New Roman" w:eastAsia="Calibri" w:hAnsi="Times New Roman"/>
                <w:b/>
                <w:snapToGrid/>
              </w:rPr>
              <w:lastRenderedPageBreak/>
              <w:t>Amount (dollars)*</w:t>
            </w:r>
          </w:p>
        </w:tc>
        <w:tc>
          <w:tcPr>
            <w:tcW w:w="1811" w:type="dxa"/>
          </w:tcPr>
          <w:p w14:paraId="1030FDCD" w14:textId="77777777" w:rsidR="00B818F3" w:rsidRPr="007B7E35" w:rsidRDefault="00B818F3" w:rsidP="00B818F3">
            <w:pPr>
              <w:widowControl/>
              <w:spacing w:after="160" w:line="259" w:lineRule="auto"/>
              <w:rPr>
                <w:rFonts w:ascii="Times New Roman" w:eastAsia="Calibri" w:hAnsi="Times New Roman"/>
                <w:b/>
                <w:snapToGrid/>
              </w:rPr>
            </w:pPr>
            <w:r w:rsidRPr="007B7E35">
              <w:rPr>
                <w:rFonts w:ascii="Times New Roman" w:eastAsia="Calibri" w:hAnsi="Times New Roman"/>
                <w:b/>
                <w:snapToGrid/>
              </w:rPr>
              <w:lastRenderedPageBreak/>
              <w:t>Total Annual Opportunity Cost (dollars)**</w:t>
            </w:r>
          </w:p>
        </w:tc>
      </w:tr>
      <w:tr w:rsidR="00B818F3" w:rsidRPr="00B818F3" w14:paraId="5DFDDD25" w14:textId="77777777" w:rsidTr="007B7E35">
        <w:tc>
          <w:tcPr>
            <w:tcW w:w="1837" w:type="dxa"/>
          </w:tcPr>
          <w:p w14:paraId="10CAF7EF" w14:textId="77777777" w:rsidR="00B818F3" w:rsidRPr="007B7E35" w:rsidRDefault="00B818F3" w:rsidP="00B818F3">
            <w:pPr>
              <w:widowControl/>
              <w:spacing w:after="200" w:line="276" w:lineRule="auto"/>
              <w:rPr>
                <w:rFonts w:ascii="Times New Roman" w:eastAsia="Calibri" w:hAnsi="Times New Roman"/>
                <w:snapToGrid/>
              </w:rPr>
            </w:pPr>
            <w:r w:rsidRPr="007B7E35">
              <w:rPr>
                <w:rFonts w:ascii="Times New Roman" w:eastAsia="Calibri" w:hAnsi="Times New Roman"/>
                <w:snapToGrid/>
              </w:rPr>
              <w:t>a) Complete eCBSV enrollment process***</w:t>
            </w:r>
          </w:p>
        </w:tc>
        <w:tc>
          <w:tcPr>
            <w:tcW w:w="1494" w:type="dxa"/>
          </w:tcPr>
          <w:p w14:paraId="55964BE3" w14:textId="77777777" w:rsidR="00B818F3" w:rsidRPr="007B7E35" w:rsidRDefault="00B818F3" w:rsidP="00B818F3">
            <w:pPr>
              <w:autoSpaceDE w:val="0"/>
              <w:autoSpaceDN w:val="0"/>
              <w:adjustRightInd w:val="0"/>
              <w:jc w:val="right"/>
              <w:rPr>
                <w:rFonts w:ascii="Times New Roman" w:hAnsi="Times New Roman"/>
              </w:rPr>
            </w:pPr>
            <w:r w:rsidRPr="007B7E35">
              <w:rPr>
                <w:rFonts w:ascii="Times New Roman" w:hAnsi="Times New Roman"/>
              </w:rPr>
              <w:t>113</w:t>
            </w:r>
          </w:p>
        </w:tc>
        <w:tc>
          <w:tcPr>
            <w:tcW w:w="1230" w:type="dxa"/>
          </w:tcPr>
          <w:p w14:paraId="01EA28EC" w14:textId="77777777" w:rsidR="00B818F3" w:rsidRPr="007B7E35" w:rsidRDefault="00B818F3" w:rsidP="00B818F3">
            <w:pPr>
              <w:autoSpaceDE w:val="0"/>
              <w:autoSpaceDN w:val="0"/>
              <w:adjustRightInd w:val="0"/>
              <w:jc w:val="right"/>
              <w:rPr>
                <w:rFonts w:ascii="Times New Roman" w:hAnsi="Times New Roman"/>
              </w:rPr>
            </w:pPr>
            <w:r w:rsidRPr="007B7E35">
              <w:rPr>
                <w:rFonts w:ascii="Times New Roman" w:hAnsi="Times New Roman"/>
              </w:rPr>
              <w:t>1</w:t>
            </w:r>
          </w:p>
        </w:tc>
        <w:tc>
          <w:tcPr>
            <w:tcW w:w="1327" w:type="dxa"/>
          </w:tcPr>
          <w:p w14:paraId="0F3096F7" w14:textId="77777777" w:rsidR="00B818F3" w:rsidRPr="007B7E35" w:rsidRDefault="00B818F3" w:rsidP="00B818F3">
            <w:pPr>
              <w:autoSpaceDE w:val="0"/>
              <w:autoSpaceDN w:val="0"/>
              <w:adjustRightInd w:val="0"/>
              <w:jc w:val="right"/>
              <w:rPr>
                <w:rFonts w:ascii="Times New Roman" w:hAnsi="Times New Roman"/>
              </w:rPr>
            </w:pPr>
            <w:r w:rsidRPr="007B7E35">
              <w:rPr>
                <w:rFonts w:ascii="Times New Roman" w:hAnsi="Times New Roman"/>
              </w:rPr>
              <w:t>120</w:t>
            </w:r>
          </w:p>
        </w:tc>
        <w:tc>
          <w:tcPr>
            <w:tcW w:w="1413" w:type="dxa"/>
          </w:tcPr>
          <w:p w14:paraId="561C422C" w14:textId="77777777" w:rsidR="00B818F3" w:rsidRPr="007B7E35" w:rsidRDefault="00B818F3" w:rsidP="00B818F3">
            <w:pPr>
              <w:autoSpaceDE w:val="0"/>
              <w:autoSpaceDN w:val="0"/>
              <w:adjustRightInd w:val="0"/>
              <w:jc w:val="right"/>
              <w:rPr>
                <w:rFonts w:ascii="Times New Roman" w:hAnsi="Times New Roman"/>
              </w:rPr>
            </w:pPr>
            <w:r w:rsidRPr="007B7E35">
              <w:rPr>
                <w:rFonts w:ascii="Times New Roman" w:hAnsi="Times New Roman"/>
              </w:rPr>
              <w:t>226</w:t>
            </w:r>
          </w:p>
        </w:tc>
        <w:tc>
          <w:tcPr>
            <w:tcW w:w="1418" w:type="dxa"/>
          </w:tcPr>
          <w:p w14:paraId="1523648F" w14:textId="77777777" w:rsidR="00B818F3" w:rsidRPr="007B7E35" w:rsidRDefault="00B818F3" w:rsidP="00B818F3">
            <w:pPr>
              <w:widowControl/>
              <w:spacing w:after="160" w:line="259" w:lineRule="auto"/>
              <w:jc w:val="right"/>
              <w:rPr>
                <w:rFonts w:ascii="Times New Roman" w:eastAsia="Calibri" w:hAnsi="Times New Roman"/>
                <w:snapToGrid/>
              </w:rPr>
            </w:pPr>
            <w:r w:rsidRPr="007B7E35">
              <w:rPr>
                <w:rFonts w:ascii="Times New Roman" w:eastAsia="Calibri" w:hAnsi="Times New Roman"/>
                <w:snapToGrid/>
              </w:rPr>
              <w:t>$37.56*</w:t>
            </w:r>
          </w:p>
        </w:tc>
        <w:tc>
          <w:tcPr>
            <w:tcW w:w="1811" w:type="dxa"/>
          </w:tcPr>
          <w:p w14:paraId="09D57BDF" w14:textId="77777777" w:rsidR="00B818F3" w:rsidRPr="007B7E35" w:rsidRDefault="00B818F3" w:rsidP="00B818F3">
            <w:pPr>
              <w:widowControl/>
              <w:spacing w:after="160" w:line="259" w:lineRule="auto"/>
              <w:jc w:val="right"/>
              <w:rPr>
                <w:rFonts w:ascii="Times New Roman" w:eastAsia="Calibri" w:hAnsi="Times New Roman"/>
                <w:snapToGrid/>
              </w:rPr>
            </w:pPr>
            <w:r w:rsidRPr="007B7E35">
              <w:rPr>
                <w:rFonts w:ascii="Times New Roman" w:eastAsia="Calibri" w:hAnsi="Times New Roman"/>
                <w:snapToGrid/>
              </w:rPr>
              <w:t>$8,489**</w:t>
            </w:r>
          </w:p>
        </w:tc>
      </w:tr>
      <w:tr w:rsidR="00B818F3" w:rsidRPr="00B818F3" w14:paraId="382399AC" w14:textId="77777777" w:rsidTr="007B7E35">
        <w:tc>
          <w:tcPr>
            <w:tcW w:w="1837" w:type="dxa"/>
          </w:tcPr>
          <w:p w14:paraId="6F19CB0D" w14:textId="77777777" w:rsidR="00B818F3" w:rsidRPr="007B7E35" w:rsidRDefault="00B818F3" w:rsidP="00B818F3">
            <w:pPr>
              <w:widowControl/>
              <w:spacing w:after="200" w:line="276" w:lineRule="auto"/>
              <w:rPr>
                <w:rFonts w:ascii="Times New Roman" w:eastAsia="Calibri" w:hAnsi="Times New Roman"/>
                <w:snapToGrid/>
              </w:rPr>
            </w:pPr>
            <w:r w:rsidRPr="007B7E35">
              <w:rPr>
                <w:rFonts w:ascii="Times New Roman" w:eastAsia="Calibri" w:hAnsi="Times New Roman"/>
                <w:snapToGrid/>
              </w:rPr>
              <w:t>a) Configure customer system for ability to send in verification requests</w:t>
            </w:r>
          </w:p>
        </w:tc>
        <w:tc>
          <w:tcPr>
            <w:tcW w:w="1494" w:type="dxa"/>
          </w:tcPr>
          <w:p w14:paraId="4B8FA02B" w14:textId="77777777" w:rsidR="00B818F3" w:rsidRPr="007B7E35" w:rsidRDefault="00B818F3" w:rsidP="00B818F3">
            <w:pPr>
              <w:autoSpaceDE w:val="0"/>
              <w:autoSpaceDN w:val="0"/>
              <w:adjustRightInd w:val="0"/>
              <w:jc w:val="right"/>
              <w:rPr>
                <w:rFonts w:ascii="Times New Roman" w:hAnsi="Times New Roman"/>
              </w:rPr>
            </w:pPr>
            <w:r w:rsidRPr="007B7E35">
              <w:rPr>
                <w:rFonts w:ascii="Times New Roman" w:hAnsi="Times New Roman"/>
              </w:rPr>
              <w:t>113</w:t>
            </w:r>
          </w:p>
        </w:tc>
        <w:tc>
          <w:tcPr>
            <w:tcW w:w="1230" w:type="dxa"/>
          </w:tcPr>
          <w:p w14:paraId="60006191" w14:textId="77777777" w:rsidR="00B818F3" w:rsidRPr="007B7E35" w:rsidRDefault="00B818F3" w:rsidP="00B818F3">
            <w:pPr>
              <w:autoSpaceDE w:val="0"/>
              <w:autoSpaceDN w:val="0"/>
              <w:adjustRightInd w:val="0"/>
              <w:jc w:val="right"/>
              <w:rPr>
                <w:rFonts w:ascii="Times New Roman" w:hAnsi="Times New Roman"/>
              </w:rPr>
            </w:pPr>
            <w:r w:rsidRPr="007B7E35">
              <w:rPr>
                <w:rFonts w:ascii="Times New Roman" w:hAnsi="Times New Roman"/>
              </w:rPr>
              <w:t>1</w:t>
            </w:r>
          </w:p>
        </w:tc>
        <w:tc>
          <w:tcPr>
            <w:tcW w:w="1327" w:type="dxa"/>
          </w:tcPr>
          <w:p w14:paraId="09ABF09D" w14:textId="77777777" w:rsidR="00B818F3" w:rsidRPr="007B7E35" w:rsidRDefault="00B818F3" w:rsidP="00B818F3">
            <w:pPr>
              <w:autoSpaceDE w:val="0"/>
              <w:autoSpaceDN w:val="0"/>
              <w:adjustRightInd w:val="0"/>
              <w:jc w:val="right"/>
              <w:rPr>
                <w:rFonts w:ascii="Times New Roman" w:hAnsi="Times New Roman"/>
              </w:rPr>
            </w:pPr>
            <w:r w:rsidRPr="007B7E35">
              <w:rPr>
                <w:rFonts w:ascii="Times New Roman" w:hAnsi="Times New Roman"/>
              </w:rPr>
              <w:t>2,400</w:t>
            </w:r>
          </w:p>
        </w:tc>
        <w:tc>
          <w:tcPr>
            <w:tcW w:w="1413" w:type="dxa"/>
          </w:tcPr>
          <w:p w14:paraId="243A70F5" w14:textId="77777777" w:rsidR="00B818F3" w:rsidRPr="007B7E35" w:rsidRDefault="00B818F3" w:rsidP="00B818F3">
            <w:pPr>
              <w:autoSpaceDE w:val="0"/>
              <w:autoSpaceDN w:val="0"/>
              <w:adjustRightInd w:val="0"/>
              <w:jc w:val="right"/>
              <w:rPr>
                <w:rFonts w:ascii="Times New Roman" w:hAnsi="Times New Roman"/>
              </w:rPr>
            </w:pPr>
            <w:r w:rsidRPr="007B7E35">
              <w:rPr>
                <w:rFonts w:ascii="Times New Roman" w:hAnsi="Times New Roman"/>
              </w:rPr>
              <w:t>4,520</w:t>
            </w:r>
          </w:p>
        </w:tc>
        <w:tc>
          <w:tcPr>
            <w:tcW w:w="1418" w:type="dxa"/>
          </w:tcPr>
          <w:p w14:paraId="710C2A23" w14:textId="77777777" w:rsidR="00B818F3" w:rsidRPr="007B7E35" w:rsidRDefault="00B818F3" w:rsidP="00B818F3">
            <w:pPr>
              <w:widowControl/>
              <w:spacing w:after="160" w:line="259" w:lineRule="auto"/>
              <w:jc w:val="right"/>
              <w:rPr>
                <w:rFonts w:ascii="Times New Roman" w:eastAsia="Calibri" w:hAnsi="Times New Roman"/>
                <w:snapToGrid/>
              </w:rPr>
            </w:pPr>
            <w:r w:rsidRPr="007B7E35">
              <w:rPr>
                <w:rFonts w:ascii="Times New Roman" w:eastAsia="Calibri" w:hAnsi="Times New Roman"/>
                <w:snapToGrid/>
              </w:rPr>
              <w:t>$37.56*</w:t>
            </w:r>
          </w:p>
        </w:tc>
        <w:tc>
          <w:tcPr>
            <w:tcW w:w="1811" w:type="dxa"/>
          </w:tcPr>
          <w:p w14:paraId="7AB97753" w14:textId="77777777" w:rsidR="00B818F3" w:rsidRPr="007B7E35" w:rsidRDefault="00B818F3" w:rsidP="00B818F3">
            <w:pPr>
              <w:widowControl/>
              <w:spacing w:after="160" w:line="259" w:lineRule="auto"/>
              <w:jc w:val="right"/>
              <w:rPr>
                <w:rFonts w:ascii="Times New Roman" w:eastAsia="Calibri" w:hAnsi="Times New Roman"/>
                <w:snapToGrid/>
              </w:rPr>
            </w:pPr>
            <w:r w:rsidRPr="007B7E35">
              <w:rPr>
                <w:rFonts w:ascii="Times New Roman" w:eastAsia="Calibri" w:hAnsi="Times New Roman"/>
                <w:snapToGrid/>
              </w:rPr>
              <w:t>$169,771**</w:t>
            </w:r>
          </w:p>
        </w:tc>
      </w:tr>
      <w:tr w:rsidR="00B818F3" w:rsidRPr="00B818F3" w14:paraId="421D255E" w14:textId="77777777" w:rsidTr="007B7E35">
        <w:tc>
          <w:tcPr>
            <w:tcW w:w="1837" w:type="dxa"/>
          </w:tcPr>
          <w:p w14:paraId="48CB3253" w14:textId="77777777" w:rsidR="00B818F3" w:rsidRPr="007B7E35" w:rsidRDefault="00B818F3" w:rsidP="00B818F3">
            <w:pPr>
              <w:widowControl/>
              <w:spacing w:after="200" w:line="276" w:lineRule="auto"/>
              <w:rPr>
                <w:rFonts w:ascii="Times New Roman" w:eastAsia="Calibri" w:hAnsi="Times New Roman"/>
                <w:snapToGrid/>
              </w:rPr>
            </w:pPr>
            <w:r w:rsidRPr="007B7E35">
              <w:rPr>
                <w:rFonts w:ascii="Times New Roman" w:eastAsia="Calibri" w:hAnsi="Times New Roman"/>
                <w:snapToGrid/>
              </w:rPr>
              <w:t>a) People whose SSNs SSA will verify - Reading and Signing</w:t>
            </w:r>
          </w:p>
        </w:tc>
        <w:tc>
          <w:tcPr>
            <w:tcW w:w="1494" w:type="dxa"/>
          </w:tcPr>
          <w:p w14:paraId="36568800" w14:textId="77777777" w:rsidR="00B818F3" w:rsidRPr="007B7E35" w:rsidRDefault="00B818F3" w:rsidP="00B818F3">
            <w:pPr>
              <w:autoSpaceDE w:val="0"/>
              <w:autoSpaceDN w:val="0"/>
              <w:adjustRightInd w:val="0"/>
              <w:jc w:val="right"/>
              <w:rPr>
                <w:rFonts w:ascii="Times New Roman" w:hAnsi="Times New Roman"/>
              </w:rPr>
            </w:pPr>
            <w:r w:rsidRPr="007B7E35">
              <w:rPr>
                <w:rFonts w:ascii="Times New Roman" w:hAnsi="Times New Roman"/>
              </w:rPr>
              <w:t>1,100,000,000</w:t>
            </w:r>
          </w:p>
        </w:tc>
        <w:tc>
          <w:tcPr>
            <w:tcW w:w="1230" w:type="dxa"/>
          </w:tcPr>
          <w:p w14:paraId="30AC266B" w14:textId="77777777" w:rsidR="00B818F3" w:rsidRPr="007B7E35" w:rsidRDefault="00B818F3" w:rsidP="00B818F3">
            <w:pPr>
              <w:autoSpaceDE w:val="0"/>
              <w:autoSpaceDN w:val="0"/>
              <w:adjustRightInd w:val="0"/>
              <w:jc w:val="right"/>
              <w:rPr>
                <w:rFonts w:ascii="Times New Roman" w:hAnsi="Times New Roman"/>
              </w:rPr>
            </w:pPr>
            <w:r w:rsidRPr="007B7E35">
              <w:rPr>
                <w:rFonts w:ascii="Times New Roman" w:hAnsi="Times New Roman"/>
              </w:rPr>
              <w:t>1</w:t>
            </w:r>
          </w:p>
        </w:tc>
        <w:tc>
          <w:tcPr>
            <w:tcW w:w="1327" w:type="dxa"/>
          </w:tcPr>
          <w:p w14:paraId="574A961C" w14:textId="77777777" w:rsidR="00B818F3" w:rsidRPr="007B7E35" w:rsidRDefault="00B818F3" w:rsidP="00B818F3">
            <w:pPr>
              <w:autoSpaceDE w:val="0"/>
              <w:autoSpaceDN w:val="0"/>
              <w:adjustRightInd w:val="0"/>
              <w:jc w:val="right"/>
              <w:rPr>
                <w:rFonts w:ascii="Times New Roman" w:hAnsi="Times New Roman"/>
              </w:rPr>
            </w:pPr>
            <w:r w:rsidRPr="007B7E35">
              <w:rPr>
                <w:rFonts w:ascii="Times New Roman" w:hAnsi="Times New Roman"/>
              </w:rPr>
              <w:t>3</w:t>
            </w:r>
          </w:p>
        </w:tc>
        <w:tc>
          <w:tcPr>
            <w:tcW w:w="1413" w:type="dxa"/>
          </w:tcPr>
          <w:p w14:paraId="636D95B3" w14:textId="77777777" w:rsidR="00B818F3" w:rsidRPr="007B7E35" w:rsidRDefault="00B818F3" w:rsidP="00B818F3">
            <w:pPr>
              <w:autoSpaceDE w:val="0"/>
              <w:autoSpaceDN w:val="0"/>
              <w:adjustRightInd w:val="0"/>
              <w:jc w:val="right"/>
              <w:rPr>
                <w:rFonts w:ascii="Times New Roman" w:hAnsi="Times New Roman"/>
              </w:rPr>
            </w:pPr>
            <w:r w:rsidRPr="007B7E35">
              <w:rPr>
                <w:rFonts w:ascii="Times New Roman" w:hAnsi="Times New Roman"/>
              </w:rPr>
              <w:t>55,000,000</w:t>
            </w:r>
          </w:p>
        </w:tc>
        <w:tc>
          <w:tcPr>
            <w:tcW w:w="1418" w:type="dxa"/>
          </w:tcPr>
          <w:p w14:paraId="7E14D295" w14:textId="70F4C6F8" w:rsidR="00B818F3" w:rsidRPr="007B7E35" w:rsidRDefault="003F214E" w:rsidP="00B818F3">
            <w:pPr>
              <w:widowControl/>
              <w:spacing w:after="160" w:line="259" w:lineRule="auto"/>
              <w:jc w:val="right"/>
              <w:rPr>
                <w:rFonts w:ascii="Times New Roman" w:eastAsia="Calibri" w:hAnsi="Times New Roman"/>
                <w:snapToGrid/>
              </w:rPr>
            </w:pPr>
            <w:r>
              <w:rPr>
                <w:rFonts w:ascii="Times New Roman" w:eastAsia="Calibri" w:hAnsi="Times New Roman"/>
                <w:snapToGrid/>
              </w:rPr>
              <w:t>$10.95</w:t>
            </w:r>
            <w:r w:rsidR="00B818F3" w:rsidRPr="007B7E35">
              <w:rPr>
                <w:rFonts w:ascii="Times New Roman" w:eastAsia="Calibri" w:hAnsi="Times New Roman"/>
                <w:snapToGrid/>
              </w:rPr>
              <w:t>*</w:t>
            </w:r>
          </w:p>
        </w:tc>
        <w:tc>
          <w:tcPr>
            <w:tcW w:w="1811" w:type="dxa"/>
          </w:tcPr>
          <w:p w14:paraId="7FDFA72B" w14:textId="01E531E4" w:rsidR="00B818F3" w:rsidRPr="007B7E35" w:rsidRDefault="003F214E" w:rsidP="00B818F3">
            <w:pPr>
              <w:widowControl/>
              <w:spacing w:after="160" w:line="259" w:lineRule="auto"/>
              <w:jc w:val="right"/>
              <w:rPr>
                <w:rFonts w:ascii="Times New Roman" w:eastAsia="Calibri" w:hAnsi="Times New Roman"/>
                <w:snapToGrid/>
              </w:rPr>
            </w:pPr>
            <w:r>
              <w:rPr>
                <w:rFonts w:ascii="Times New Roman" w:eastAsia="Calibri" w:hAnsi="Times New Roman"/>
                <w:snapToGrid/>
              </w:rPr>
              <w:t>$602,2</w:t>
            </w:r>
            <w:r w:rsidR="00B818F3" w:rsidRPr="007B7E35">
              <w:rPr>
                <w:rFonts w:ascii="Times New Roman" w:eastAsia="Calibri" w:hAnsi="Times New Roman"/>
                <w:snapToGrid/>
              </w:rPr>
              <w:t>50,000**</w:t>
            </w:r>
          </w:p>
        </w:tc>
      </w:tr>
      <w:tr w:rsidR="00B818F3" w:rsidRPr="00B818F3" w14:paraId="536216A5" w14:textId="77777777" w:rsidTr="007B7E35">
        <w:tc>
          <w:tcPr>
            <w:tcW w:w="1837" w:type="dxa"/>
          </w:tcPr>
          <w:p w14:paraId="732F4DA7" w14:textId="77777777" w:rsidR="00B818F3" w:rsidRPr="007B7E35" w:rsidRDefault="00B818F3" w:rsidP="00B818F3">
            <w:pPr>
              <w:widowControl/>
              <w:spacing w:after="200" w:line="276" w:lineRule="auto"/>
              <w:rPr>
                <w:rFonts w:ascii="Times New Roman" w:eastAsia="Calibri" w:hAnsi="Times New Roman"/>
                <w:snapToGrid/>
              </w:rPr>
            </w:pPr>
            <w:r w:rsidRPr="007B7E35">
              <w:rPr>
                <w:rFonts w:ascii="Times New Roman" w:eastAsia="Calibri" w:hAnsi="Times New Roman"/>
                <w:snapToGrid/>
              </w:rPr>
              <w:t>a) Sending in the verification request, calling our system, getting a response</w:t>
            </w:r>
          </w:p>
        </w:tc>
        <w:tc>
          <w:tcPr>
            <w:tcW w:w="1494" w:type="dxa"/>
          </w:tcPr>
          <w:p w14:paraId="78C2FCF2" w14:textId="77777777" w:rsidR="00B818F3" w:rsidRPr="007B7E35" w:rsidRDefault="00B818F3" w:rsidP="00B818F3">
            <w:pPr>
              <w:autoSpaceDE w:val="0"/>
              <w:autoSpaceDN w:val="0"/>
              <w:adjustRightInd w:val="0"/>
              <w:jc w:val="right"/>
              <w:rPr>
                <w:rFonts w:ascii="Times New Roman" w:hAnsi="Times New Roman"/>
              </w:rPr>
            </w:pPr>
            <w:r w:rsidRPr="007B7E35">
              <w:rPr>
                <w:rFonts w:ascii="Times New Roman" w:hAnsi="Times New Roman"/>
              </w:rPr>
              <w:t>1,100,000,000</w:t>
            </w:r>
          </w:p>
        </w:tc>
        <w:tc>
          <w:tcPr>
            <w:tcW w:w="1230" w:type="dxa"/>
          </w:tcPr>
          <w:p w14:paraId="6B6EC4BA" w14:textId="77777777" w:rsidR="00B818F3" w:rsidRPr="007B7E35" w:rsidRDefault="00B818F3" w:rsidP="00B818F3">
            <w:pPr>
              <w:autoSpaceDE w:val="0"/>
              <w:autoSpaceDN w:val="0"/>
              <w:adjustRightInd w:val="0"/>
              <w:jc w:val="right"/>
              <w:rPr>
                <w:rFonts w:ascii="Times New Roman" w:hAnsi="Times New Roman"/>
              </w:rPr>
            </w:pPr>
            <w:r w:rsidRPr="007B7E35">
              <w:rPr>
                <w:rFonts w:ascii="Times New Roman" w:hAnsi="Times New Roman"/>
              </w:rPr>
              <w:t>1</w:t>
            </w:r>
          </w:p>
        </w:tc>
        <w:tc>
          <w:tcPr>
            <w:tcW w:w="1327" w:type="dxa"/>
          </w:tcPr>
          <w:p w14:paraId="137DF44E" w14:textId="77777777" w:rsidR="00B818F3" w:rsidRPr="007B7E35" w:rsidRDefault="00B818F3" w:rsidP="00B818F3">
            <w:pPr>
              <w:autoSpaceDE w:val="0"/>
              <w:autoSpaceDN w:val="0"/>
              <w:adjustRightInd w:val="0"/>
              <w:jc w:val="right"/>
              <w:rPr>
                <w:rFonts w:ascii="Times New Roman" w:hAnsi="Times New Roman"/>
              </w:rPr>
            </w:pPr>
            <w:r w:rsidRPr="007B7E35">
              <w:rPr>
                <w:rFonts w:ascii="Times New Roman" w:hAnsi="Times New Roman"/>
              </w:rPr>
              <w:t>1</w:t>
            </w:r>
          </w:p>
        </w:tc>
        <w:tc>
          <w:tcPr>
            <w:tcW w:w="1413" w:type="dxa"/>
          </w:tcPr>
          <w:p w14:paraId="62121AFE" w14:textId="77777777" w:rsidR="00B818F3" w:rsidRPr="007B7E35" w:rsidRDefault="00B818F3" w:rsidP="00B818F3">
            <w:pPr>
              <w:autoSpaceDE w:val="0"/>
              <w:autoSpaceDN w:val="0"/>
              <w:adjustRightInd w:val="0"/>
              <w:jc w:val="right"/>
              <w:rPr>
                <w:rFonts w:ascii="Times New Roman" w:hAnsi="Times New Roman"/>
              </w:rPr>
            </w:pPr>
            <w:r w:rsidRPr="007B7E35">
              <w:rPr>
                <w:rFonts w:ascii="Times New Roman" w:hAnsi="Times New Roman"/>
              </w:rPr>
              <w:t>18,333,333</w:t>
            </w:r>
          </w:p>
        </w:tc>
        <w:tc>
          <w:tcPr>
            <w:tcW w:w="1418" w:type="dxa"/>
          </w:tcPr>
          <w:p w14:paraId="6BA26720" w14:textId="77777777" w:rsidR="00B818F3" w:rsidRPr="007B7E35" w:rsidRDefault="00B818F3" w:rsidP="00B818F3">
            <w:pPr>
              <w:widowControl/>
              <w:spacing w:after="160" w:line="259" w:lineRule="auto"/>
              <w:jc w:val="right"/>
              <w:rPr>
                <w:rFonts w:ascii="Times New Roman" w:eastAsia="Calibri" w:hAnsi="Times New Roman"/>
                <w:snapToGrid/>
              </w:rPr>
            </w:pPr>
            <w:r w:rsidRPr="007B7E35">
              <w:rPr>
                <w:rFonts w:ascii="Times New Roman" w:eastAsia="Calibri" w:hAnsi="Times New Roman"/>
                <w:snapToGrid/>
              </w:rPr>
              <w:t>$37.56*</w:t>
            </w:r>
          </w:p>
        </w:tc>
        <w:tc>
          <w:tcPr>
            <w:tcW w:w="1811" w:type="dxa"/>
          </w:tcPr>
          <w:p w14:paraId="505B2332" w14:textId="77777777" w:rsidR="00B818F3" w:rsidRPr="007B7E35" w:rsidRDefault="00B818F3" w:rsidP="00B818F3">
            <w:pPr>
              <w:widowControl/>
              <w:spacing w:after="160" w:line="259" w:lineRule="auto"/>
              <w:jc w:val="right"/>
              <w:rPr>
                <w:rFonts w:ascii="Times New Roman" w:eastAsia="Calibri" w:hAnsi="Times New Roman"/>
                <w:snapToGrid/>
              </w:rPr>
            </w:pPr>
            <w:r w:rsidRPr="007B7E35">
              <w:rPr>
                <w:rFonts w:ascii="Times New Roman" w:eastAsia="Calibri" w:hAnsi="Times New Roman"/>
                <w:snapToGrid/>
              </w:rPr>
              <w:t>$688,599,987**</w:t>
            </w:r>
          </w:p>
        </w:tc>
      </w:tr>
      <w:tr w:rsidR="00B818F3" w:rsidRPr="00B818F3" w14:paraId="6F21DE56" w14:textId="77777777" w:rsidTr="007B7E35">
        <w:tc>
          <w:tcPr>
            <w:tcW w:w="1837" w:type="dxa"/>
          </w:tcPr>
          <w:p w14:paraId="750B9DD7" w14:textId="77777777" w:rsidR="00B818F3" w:rsidRPr="007B7E35" w:rsidRDefault="00B818F3" w:rsidP="00B818F3">
            <w:pPr>
              <w:widowControl/>
              <w:spacing w:after="200" w:line="276" w:lineRule="auto"/>
              <w:rPr>
                <w:rFonts w:ascii="Times New Roman" w:eastAsia="Calibri" w:hAnsi="Times New Roman"/>
                <w:snapToGrid/>
              </w:rPr>
            </w:pPr>
            <w:r w:rsidRPr="007B7E35">
              <w:rPr>
                <w:rFonts w:ascii="Times New Roman" w:eastAsia="Calibri" w:hAnsi="Times New Roman"/>
                <w:snapToGrid/>
              </w:rPr>
              <w:t>b) Follow SSA requirements to configure application program interface</w:t>
            </w:r>
          </w:p>
        </w:tc>
        <w:tc>
          <w:tcPr>
            <w:tcW w:w="1494" w:type="dxa"/>
          </w:tcPr>
          <w:p w14:paraId="59B34281" w14:textId="77777777" w:rsidR="00B818F3" w:rsidRPr="007B7E35" w:rsidRDefault="00B818F3" w:rsidP="00B818F3">
            <w:pPr>
              <w:autoSpaceDE w:val="0"/>
              <w:autoSpaceDN w:val="0"/>
              <w:adjustRightInd w:val="0"/>
              <w:jc w:val="right"/>
              <w:rPr>
                <w:rFonts w:ascii="Times New Roman" w:hAnsi="Times New Roman"/>
              </w:rPr>
            </w:pPr>
            <w:r w:rsidRPr="007B7E35">
              <w:rPr>
                <w:rFonts w:ascii="Times New Roman" w:hAnsi="Times New Roman"/>
              </w:rPr>
              <w:t>113</w:t>
            </w:r>
          </w:p>
        </w:tc>
        <w:tc>
          <w:tcPr>
            <w:tcW w:w="1230" w:type="dxa"/>
          </w:tcPr>
          <w:p w14:paraId="4D0B4360" w14:textId="77777777" w:rsidR="00B818F3" w:rsidRPr="007B7E35" w:rsidRDefault="00B818F3" w:rsidP="00B818F3">
            <w:pPr>
              <w:autoSpaceDE w:val="0"/>
              <w:autoSpaceDN w:val="0"/>
              <w:adjustRightInd w:val="0"/>
              <w:jc w:val="right"/>
              <w:rPr>
                <w:rFonts w:ascii="Times New Roman" w:hAnsi="Times New Roman"/>
              </w:rPr>
            </w:pPr>
            <w:r w:rsidRPr="007B7E35">
              <w:rPr>
                <w:rFonts w:ascii="Times New Roman" w:hAnsi="Times New Roman"/>
              </w:rPr>
              <w:t>1</w:t>
            </w:r>
          </w:p>
        </w:tc>
        <w:tc>
          <w:tcPr>
            <w:tcW w:w="1327" w:type="dxa"/>
          </w:tcPr>
          <w:p w14:paraId="4424A506" w14:textId="77777777" w:rsidR="00B818F3" w:rsidRPr="007B7E35" w:rsidRDefault="00B818F3" w:rsidP="00B818F3">
            <w:pPr>
              <w:autoSpaceDE w:val="0"/>
              <w:autoSpaceDN w:val="0"/>
              <w:adjustRightInd w:val="0"/>
              <w:jc w:val="right"/>
              <w:rPr>
                <w:rFonts w:ascii="Times New Roman" w:hAnsi="Times New Roman"/>
              </w:rPr>
            </w:pPr>
            <w:r w:rsidRPr="007B7E35">
              <w:rPr>
                <w:rFonts w:ascii="Times New Roman" w:hAnsi="Times New Roman"/>
              </w:rPr>
              <w:t>4,800</w:t>
            </w:r>
          </w:p>
        </w:tc>
        <w:tc>
          <w:tcPr>
            <w:tcW w:w="1413" w:type="dxa"/>
          </w:tcPr>
          <w:p w14:paraId="4CDBA747" w14:textId="77777777" w:rsidR="00B818F3" w:rsidRPr="007B7E35" w:rsidRDefault="00B818F3" w:rsidP="00B818F3">
            <w:pPr>
              <w:autoSpaceDE w:val="0"/>
              <w:autoSpaceDN w:val="0"/>
              <w:adjustRightInd w:val="0"/>
              <w:jc w:val="right"/>
              <w:rPr>
                <w:rFonts w:ascii="Times New Roman" w:hAnsi="Times New Roman"/>
              </w:rPr>
            </w:pPr>
            <w:r w:rsidRPr="007B7E35">
              <w:rPr>
                <w:rFonts w:ascii="Times New Roman" w:hAnsi="Times New Roman"/>
              </w:rPr>
              <w:t>9,040</w:t>
            </w:r>
          </w:p>
        </w:tc>
        <w:tc>
          <w:tcPr>
            <w:tcW w:w="1418" w:type="dxa"/>
          </w:tcPr>
          <w:p w14:paraId="21AD2F4E" w14:textId="77777777" w:rsidR="00B818F3" w:rsidRPr="007B7E35" w:rsidRDefault="00B818F3" w:rsidP="00B818F3">
            <w:pPr>
              <w:widowControl/>
              <w:spacing w:after="160" w:line="259" w:lineRule="auto"/>
              <w:jc w:val="right"/>
              <w:rPr>
                <w:rFonts w:ascii="Times New Roman" w:eastAsia="Calibri" w:hAnsi="Times New Roman"/>
                <w:snapToGrid/>
              </w:rPr>
            </w:pPr>
            <w:r w:rsidRPr="007B7E35">
              <w:rPr>
                <w:rFonts w:ascii="Times New Roman" w:eastAsia="Calibri" w:hAnsi="Times New Roman"/>
                <w:snapToGrid/>
              </w:rPr>
              <w:t>$37.56*</w:t>
            </w:r>
          </w:p>
        </w:tc>
        <w:tc>
          <w:tcPr>
            <w:tcW w:w="1811" w:type="dxa"/>
          </w:tcPr>
          <w:p w14:paraId="0BFC7504" w14:textId="77777777" w:rsidR="00B818F3" w:rsidRPr="007B7E35" w:rsidRDefault="00B818F3" w:rsidP="00B818F3">
            <w:pPr>
              <w:widowControl/>
              <w:spacing w:after="160" w:line="259" w:lineRule="auto"/>
              <w:jc w:val="right"/>
              <w:rPr>
                <w:rFonts w:ascii="Times New Roman" w:eastAsia="Calibri" w:hAnsi="Times New Roman"/>
                <w:snapToGrid/>
              </w:rPr>
            </w:pPr>
            <w:r w:rsidRPr="007B7E35">
              <w:rPr>
                <w:rFonts w:ascii="Times New Roman" w:eastAsia="Calibri" w:hAnsi="Times New Roman"/>
                <w:snapToGrid/>
              </w:rPr>
              <w:t>$339,542**</w:t>
            </w:r>
          </w:p>
        </w:tc>
      </w:tr>
      <w:tr w:rsidR="00B818F3" w:rsidRPr="00B818F3" w14:paraId="0DCEDFEF" w14:textId="77777777" w:rsidTr="007B7E35">
        <w:tc>
          <w:tcPr>
            <w:tcW w:w="1837" w:type="dxa"/>
          </w:tcPr>
          <w:p w14:paraId="015B78D1" w14:textId="77777777" w:rsidR="00B818F3" w:rsidRPr="007B7E35" w:rsidRDefault="00B818F3" w:rsidP="00B818F3">
            <w:pPr>
              <w:widowControl/>
              <w:spacing w:after="200" w:line="276" w:lineRule="auto"/>
              <w:rPr>
                <w:rFonts w:ascii="Times New Roman" w:eastAsia="Calibri" w:hAnsi="Times New Roman"/>
                <w:snapToGrid/>
              </w:rPr>
            </w:pPr>
            <w:r w:rsidRPr="007B7E35">
              <w:rPr>
                <w:rFonts w:ascii="Times New Roman" w:eastAsia="Calibri" w:hAnsi="Times New Roman"/>
                <w:snapToGrid/>
              </w:rPr>
              <w:t>c) CPA Compliance Review and Report****</w:t>
            </w:r>
          </w:p>
        </w:tc>
        <w:tc>
          <w:tcPr>
            <w:tcW w:w="1494" w:type="dxa"/>
          </w:tcPr>
          <w:p w14:paraId="2D3688DF" w14:textId="77777777" w:rsidR="00B818F3" w:rsidRPr="007B7E35" w:rsidRDefault="00B818F3" w:rsidP="00B818F3">
            <w:pPr>
              <w:autoSpaceDE w:val="0"/>
              <w:autoSpaceDN w:val="0"/>
              <w:adjustRightInd w:val="0"/>
              <w:jc w:val="right"/>
              <w:rPr>
                <w:rFonts w:ascii="Times New Roman" w:hAnsi="Times New Roman"/>
              </w:rPr>
            </w:pPr>
            <w:r w:rsidRPr="007B7E35">
              <w:rPr>
                <w:rFonts w:ascii="Times New Roman" w:hAnsi="Times New Roman"/>
              </w:rPr>
              <w:t>113</w:t>
            </w:r>
          </w:p>
        </w:tc>
        <w:tc>
          <w:tcPr>
            <w:tcW w:w="1230" w:type="dxa"/>
          </w:tcPr>
          <w:p w14:paraId="202DAD87" w14:textId="77777777" w:rsidR="00B818F3" w:rsidRPr="007B7E35" w:rsidRDefault="00B818F3" w:rsidP="00B818F3">
            <w:pPr>
              <w:autoSpaceDE w:val="0"/>
              <w:autoSpaceDN w:val="0"/>
              <w:adjustRightInd w:val="0"/>
              <w:jc w:val="right"/>
              <w:rPr>
                <w:rFonts w:ascii="Times New Roman" w:hAnsi="Times New Roman"/>
              </w:rPr>
            </w:pPr>
            <w:r w:rsidRPr="007B7E35">
              <w:rPr>
                <w:rFonts w:ascii="Times New Roman" w:hAnsi="Times New Roman"/>
              </w:rPr>
              <w:t>1</w:t>
            </w:r>
          </w:p>
        </w:tc>
        <w:tc>
          <w:tcPr>
            <w:tcW w:w="1327" w:type="dxa"/>
          </w:tcPr>
          <w:p w14:paraId="1366E335" w14:textId="77777777" w:rsidR="00B818F3" w:rsidRPr="007B7E35" w:rsidRDefault="00B818F3" w:rsidP="00B818F3">
            <w:pPr>
              <w:autoSpaceDE w:val="0"/>
              <w:autoSpaceDN w:val="0"/>
              <w:adjustRightInd w:val="0"/>
              <w:jc w:val="right"/>
              <w:rPr>
                <w:rFonts w:ascii="Times New Roman" w:hAnsi="Times New Roman"/>
              </w:rPr>
            </w:pPr>
            <w:r w:rsidRPr="007B7E35">
              <w:rPr>
                <w:rFonts w:ascii="Times New Roman" w:hAnsi="Times New Roman"/>
              </w:rPr>
              <w:t>4,800</w:t>
            </w:r>
          </w:p>
        </w:tc>
        <w:tc>
          <w:tcPr>
            <w:tcW w:w="1413" w:type="dxa"/>
          </w:tcPr>
          <w:p w14:paraId="6D272B33" w14:textId="77777777" w:rsidR="00B818F3" w:rsidRPr="007B7E35" w:rsidRDefault="00B818F3" w:rsidP="00B818F3">
            <w:pPr>
              <w:autoSpaceDE w:val="0"/>
              <w:autoSpaceDN w:val="0"/>
              <w:adjustRightInd w:val="0"/>
              <w:jc w:val="right"/>
              <w:rPr>
                <w:rFonts w:ascii="Times New Roman" w:hAnsi="Times New Roman"/>
              </w:rPr>
            </w:pPr>
            <w:r w:rsidRPr="007B7E35">
              <w:rPr>
                <w:rFonts w:ascii="Times New Roman" w:hAnsi="Times New Roman"/>
              </w:rPr>
              <w:t>9,040</w:t>
            </w:r>
          </w:p>
        </w:tc>
        <w:tc>
          <w:tcPr>
            <w:tcW w:w="1418" w:type="dxa"/>
          </w:tcPr>
          <w:p w14:paraId="12B13BE7" w14:textId="77777777" w:rsidR="00B818F3" w:rsidRPr="007B7E35" w:rsidRDefault="00B818F3" w:rsidP="00B818F3">
            <w:pPr>
              <w:widowControl/>
              <w:spacing w:after="160" w:line="259" w:lineRule="auto"/>
              <w:jc w:val="right"/>
              <w:rPr>
                <w:rFonts w:ascii="Times New Roman" w:eastAsia="Calibri" w:hAnsi="Times New Roman"/>
                <w:snapToGrid/>
              </w:rPr>
            </w:pPr>
            <w:r w:rsidRPr="007B7E35">
              <w:rPr>
                <w:rFonts w:ascii="Times New Roman" w:eastAsia="Calibri" w:hAnsi="Times New Roman"/>
                <w:snapToGrid/>
              </w:rPr>
              <w:t>$38.23*</w:t>
            </w:r>
          </w:p>
        </w:tc>
        <w:tc>
          <w:tcPr>
            <w:tcW w:w="1811" w:type="dxa"/>
          </w:tcPr>
          <w:p w14:paraId="3453CC3C" w14:textId="77777777" w:rsidR="00B818F3" w:rsidRPr="007B7E35" w:rsidRDefault="00B818F3" w:rsidP="00B818F3">
            <w:pPr>
              <w:widowControl/>
              <w:spacing w:after="160" w:line="259" w:lineRule="auto"/>
              <w:jc w:val="right"/>
              <w:rPr>
                <w:rFonts w:ascii="Times New Roman" w:eastAsia="Calibri" w:hAnsi="Times New Roman"/>
                <w:snapToGrid/>
              </w:rPr>
            </w:pPr>
            <w:r w:rsidRPr="007B7E35">
              <w:rPr>
                <w:rFonts w:ascii="Times New Roman" w:eastAsia="Calibri" w:hAnsi="Times New Roman"/>
                <w:snapToGrid/>
              </w:rPr>
              <w:t>$345,599**</w:t>
            </w:r>
          </w:p>
        </w:tc>
      </w:tr>
      <w:tr w:rsidR="00B818F3" w:rsidRPr="00B818F3" w14:paraId="23FE711C" w14:textId="77777777" w:rsidTr="007B7E35">
        <w:trPr>
          <w:trHeight w:val="350"/>
        </w:trPr>
        <w:tc>
          <w:tcPr>
            <w:tcW w:w="1837" w:type="dxa"/>
          </w:tcPr>
          <w:p w14:paraId="547187E6" w14:textId="77777777" w:rsidR="00B818F3" w:rsidRPr="007B7E35" w:rsidRDefault="00B818F3" w:rsidP="00B818F3">
            <w:pPr>
              <w:widowControl/>
              <w:spacing w:after="200" w:line="276" w:lineRule="auto"/>
              <w:rPr>
                <w:rFonts w:ascii="Times New Roman" w:eastAsia="Calibri" w:hAnsi="Times New Roman"/>
                <w:snapToGrid/>
              </w:rPr>
            </w:pPr>
            <w:r w:rsidRPr="007B7E35">
              <w:rPr>
                <w:rFonts w:ascii="Times New Roman" w:eastAsia="Calibri" w:hAnsi="Times New Roman"/>
                <w:b/>
                <w:snapToGrid/>
              </w:rPr>
              <w:t>Totals</w:t>
            </w:r>
          </w:p>
        </w:tc>
        <w:tc>
          <w:tcPr>
            <w:tcW w:w="1494" w:type="dxa"/>
          </w:tcPr>
          <w:p w14:paraId="2277659D" w14:textId="77777777" w:rsidR="00B818F3" w:rsidRPr="007B7E35" w:rsidRDefault="00B818F3" w:rsidP="00B818F3">
            <w:pPr>
              <w:autoSpaceDE w:val="0"/>
              <w:autoSpaceDN w:val="0"/>
              <w:adjustRightInd w:val="0"/>
              <w:jc w:val="right"/>
              <w:rPr>
                <w:rFonts w:ascii="Times New Roman" w:hAnsi="Times New Roman"/>
                <w:b/>
              </w:rPr>
            </w:pPr>
            <w:r w:rsidRPr="007B7E35">
              <w:rPr>
                <w:rFonts w:ascii="Times New Roman" w:hAnsi="Times New Roman"/>
                <w:b/>
              </w:rPr>
              <w:t>2,200,000,452</w:t>
            </w:r>
          </w:p>
        </w:tc>
        <w:tc>
          <w:tcPr>
            <w:tcW w:w="1230" w:type="dxa"/>
          </w:tcPr>
          <w:p w14:paraId="5981F074" w14:textId="77777777" w:rsidR="00B818F3" w:rsidRPr="007B7E35" w:rsidRDefault="00B818F3" w:rsidP="00B818F3">
            <w:pPr>
              <w:autoSpaceDE w:val="0"/>
              <w:autoSpaceDN w:val="0"/>
              <w:adjustRightInd w:val="0"/>
              <w:jc w:val="right"/>
              <w:rPr>
                <w:rFonts w:ascii="Times New Roman" w:hAnsi="Times New Roman"/>
                <w:b/>
              </w:rPr>
            </w:pPr>
          </w:p>
        </w:tc>
        <w:tc>
          <w:tcPr>
            <w:tcW w:w="1327" w:type="dxa"/>
          </w:tcPr>
          <w:p w14:paraId="68F289B9" w14:textId="77777777" w:rsidR="00B818F3" w:rsidRPr="007B7E35" w:rsidRDefault="00B818F3" w:rsidP="00B818F3">
            <w:pPr>
              <w:autoSpaceDE w:val="0"/>
              <w:autoSpaceDN w:val="0"/>
              <w:adjustRightInd w:val="0"/>
              <w:jc w:val="right"/>
              <w:rPr>
                <w:rFonts w:ascii="Times New Roman" w:hAnsi="Times New Roman"/>
                <w:b/>
              </w:rPr>
            </w:pPr>
          </w:p>
        </w:tc>
        <w:tc>
          <w:tcPr>
            <w:tcW w:w="1413" w:type="dxa"/>
          </w:tcPr>
          <w:p w14:paraId="3B9A7A83" w14:textId="77777777" w:rsidR="00B818F3" w:rsidRPr="007B7E35" w:rsidRDefault="00B818F3" w:rsidP="00B818F3">
            <w:pPr>
              <w:autoSpaceDE w:val="0"/>
              <w:autoSpaceDN w:val="0"/>
              <w:adjustRightInd w:val="0"/>
              <w:jc w:val="right"/>
              <w:rPr>
                <w:rFonts w:ascii="Times New Roman" w:hAnsi="Times New Roman"/>
                <w:b/>
              </w:rPr>
            </w:pPr>
            <w:r w:rsidRPr="007B7E35">
              <w:rPr>
                <w:rFonts w:ascii="Times New Roman" w:hAnsi="Times New Roman"/>
                <w:b/>
              </w:rPr>
              <w:t>73,356,159</w:t>
            </w:r>
          </w:p>
        </w:tc>
        <w:tc>
          <w:tcPr>
            <w:tcW w:w="1418" w:type="dxa"/>
          </w:tcPr>
          <w:p w14:paraId="305ADA8B" w14:textId="77777777" w:rsidR="00B818F3" w:rsidRPr="007B7E35" w:rsidRDefault="00B818F3" w:rsidP="00B818F3">
            <w:pPr>
              <w:widowControl/>
              <w:spacing w:after="160" w:line="259" w:lineRule="auto"/>
              <w:jc w:val="right"/>
              <w:rPr>
                <w:rFonts w:ascii="Times New Roman" w:eastAsia="Calibri" w:hAnsi="Times New Roman"/>
                <w:b/>
                <w:snapToGrid/>
              </w:rPr>
            </w:pPr>
          </w:p>
        </w:tc>
        <w:tc>
          <w:tcPr>
            <w:tcW w:w="1811" w:type="dxa"/>
          </w:tcPr>
          <w:p w14:paraId="287ED001" w14:textId="534A9240" w:rsidR="00B818F3" w:rsidRPr="007B7E35" w:rsidRDefault="003F214E" w:rsidP="00B818F3">
            <w:pPr>
              <w:widowControl/>
              <w:spacing w:after="160" w:line="259" w:lineRule="auto"/>
              <w:jc w:val="right"/>
              <w:rPr>
                <w:rFonts w:ascii="Times New Roman" w:eastAsia="Calibri" w:hAnsi="Times New Roman"/>
                <w:b/>
                <w:snapToGrid/>
              </w:rPr>
            </w:pPr>
            <w:r>
              <w:rPr>
                <w:rFonts w:ascii="Times New Roman" w:eastAsia="Calibri" w:hAnsi="Times New Roman"/>
                <w:b/>
                <w:snapToGrid/>
              </w:rPr>
              <w:t>$1,291,7</w:t>
            </w:r>
            <w:r w:rsidR="00B818F3" w:rsidRPr="007B7E35">
              <w:rPr>
                <w:rFonts w:ascii="Times New Roman" w:eastAsia="Calibri" w:hAnsi="Times New Roman"/>
                <w:b/>
                <w:snapToGrid/>
              </w:rPr>
              <w:t>13,388**</w:t>
            </w:r>
          </w:p>
        </w:tc>
      </w:tr>
    </w:tbl>
    <w:p w14:paraId="21A706CE" w14:textId="07047D84" w:rsidR="00B818F3" w:rsidRPr="00B818F3" w:rsidRDefault="00B818F3" w:rsidP="00B818F3">
      <w:pPr>
        <w:pStyle w:val="ListParagraph"/>
        <w:tabs>
          <w:tab w:val="num" w:pos="1440"/>
        </w:tabs>
        <w:ind w:left="1440"/>
        <w:rPr>
          <w:rFonts w:ascii="Times New Roman" w:hAnsi="Times New Roman"/>
        </w:rPr>
      </w:pPr>
      <w:r w:rsidRPr="00B818F3">
        <w:rPr>
          <w:rFonts w:ascii="Times New Roman" w:hAnsi="Times New Roman"/>
        </w:rPr>
        <w:t>* We based these figures on average Business and Financial operations occupations (</w:t>
      </w:r>
      <w:hyperlink r:id="rId8" w:history="1">
        <w:r w:rsidRPr="00B818F3">
          <w:rPr>
            <w:rStyle w:val="Hyperlink"/>
            <w:rFonts w:ascii="Times New Roman" w:hAnsi="Times New Roman"/>
          </w:rPr>
          <w:t>https://www.bls.gov/oes/current/oes130000.htm</w:t>
        </w:r>
      </w:hyperlink>
      <w:r w:rsidRPr="00B818F3">
        <w:rPr>
          <w:rFonts w:ascii="Times New Roman" w:hAnsi="Times New Roman"/>
        </w:rPr>
        <w:t>), and Accountants and Auditors hourly salaries (</w:t>
      </w:r>
      <w:hyperlink r:id="rId9" w:history="1">
        <w:r w:rsidRPr="00B818F3">
          <w:rPr>
            <w:rStyle w:val="Hyperlink"/>
            <w:rFonts w:ascii="Times New Roman" w:hAnsi="Times New Roman"/>
          </w:rPr>
          <w:t>https://www.bls.gov/oes/current/oes132011.htm</w:t>
        </w:r>
      </w:hyperlink>
      <w:r w:rsidRPr="00B818F3">
        <w:rPr>
          <w:rFonts w:ascii="Times New Roman" w:hAnsi="Times New Roman"/>
        </w:rPr>
        <w:t xml:space="preserve">), as reported by Bureau of Labor Statistics data, and average </w:t>
      </w:r>
      <w:r w:rsidR="004959A9" w:rsidRPr="004959A9">
        <w:rPr>
          <w:rFonts w:ascii="Times New Roman" w:eastAsia="SimSun" w:hAnsi="Times New Roman"/>
          <w:snapToGrid/>
          <w:lang w:eastAsia="ar-SA"/>
        </w:rPr>
        <w:t>DI payments based on SSA's current FY 2020 data</w:t>
      </w:r>
      <w:r w:rsidR="004959A9">
        <w:rPr>
          <w:rFonts w:ascii="Times New Roman" w:eastAsia="SimSun" w:hAnsi="Times New Roman"/>
          <w:snapToGrid/>
          <w:lang w:eastAsia="ar-SA"/>
        </w:rPr>
        <w:t xml:space="preserve"> </w:t>
      </w:r>
      <w:r w:rsidRPr="00B818F3">
        <w:rPr>
          <w:rFonts w:ascii="Times New Roman" w:hAnsi="Times New Roman"/>
        </w:rPr>
        <w:t>(</w:t>
      </w:r>
      <w:hyperlink r:id="rId10" w:history="1">
        <w:r w:rsidR="003F214E" w:rsidRPr="003F214E">
          <w:rPr>
            <w:rStyle w:val="Hyperlink"/>
            <w:rFonts w:ascii="Times New Roman" w:hAnsi="Times New Roman"/>
          </w:rPr>
          <w:t>https://www.ssa.gov/legislation/2021FactSheet.pdf</w:t>
        </w:r>
      </w:hyperlink>
      <w:r w:rsidRPr="00B818F3">
        <w:rPr>
          <w:rFonts w:ascii="Times New Roman" w:hAnsi="Times New Roman"/>
        </w:rPr>
        <w:t>).</w:t>
      </w:r>
    </w:p>
    <w:p w14:paraId="22094E5B" w14:textId="7D7699AC" w:rsidR="003F214E" w:rsidRPr="003F214E" w:rsidRDefault="003F214E" w:rsidP="003F214E">
      <w:pPr>
        <w:tabs>
          <w:tab w:val="num" w:pos="1440"/>
        </w:tabs>
        <w:rPr>
          <w:rFonts w:ascii="Times New Roman" w:hAnsi="Times New Roman"/>
        </w:rPr>
      </w:pPr>
    </w:p>
    <w:p w14:paraId="29D3D016" w14:textId="77777777" w:rsidR="00B818F3" w:rsidRPr="00B818F3" w:rsidRDefault="00B818F3" w:rsidP="00B818F3">
      <w:pPr>
        <w:pStyle w:val="ListParagraph"/>
        <w:tabs>
          <w:tab w:val="num" w:pos="1440"/>
        </w:tabs>
        <w:ind w:left="1440"/>
        <w:rPr>
          <w:rFonts w:ascii="Times New Roman" w:hAnsi="Times New Roman"/>
        </w:rPr>
      </w:pPr>
      <w:r w:rsidRPr="00B818F3">
        <w:rPr>
          <w:rFonts w:ascii="Times New Roman" w:hAnsi="Times New Roman"/>
        </w:rPr>
        <w:lastRenderedPageBreak/>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B818F3">
        <w:rPr>
          <w:rFonts w:ascii="Times New Roman" w:hAnsi="Times New Roman"/>
          <w:b/>
        </w:rPr>
        <w:t xml:space="preserve">  </w:t>
      </w:r>
      <w:r w:rsidRPr="00B818F3">
        <w:rPr>
          <w:rFonts w:ascii="Times New Roman" w:hAnsi="Times New Roman"/>
          <w:b/>
          <w:u w:val="single"/>
        </w:rPr>
        <w:t>There is no actual charge to respondents to complete the application</w:t>
      </w:r>
      <w:r w:rsidRPr="00B818F3">
        <w:rPr>
          <w:rFonts w:ascii="Times New Roman" w:hAnsi="Times New Roman"/>
        </w:rPr>
        <w:t>.</w:t>
      </w:r>
    </w:p>
    <w:p w14:paraId="3DE2A3C6" w14:textId="77777777" w:rsidR="00B818F3" w:rsidRPr="00B818F3" w:rsidRDefault="00B818F3" w:rsidP="00B818F3">
      <w:pPr>
        <w:pStyle w:val="ListParagraph"/>
        <w:tabs>
          <w:tab w:val="num" w:pos="1440"/>
        </w:tabs>
        <w:ind w:left="1440"/>
        <w:rPr>
          <w:rFonts w:ascii="Times New Roman" w:hAnsi="Times New Roman"/>
        </w:rPr>
      </w:pPr>
    </w:p>
    <w:p w14:paraId="3AB1BD38" w14:textId="35F3FD19" w:rsidR="00B818F3" w:rsidRPr="00B818F3" w:rsidRDefault="00B818F3" w:rsidP="00B818F3">
      <w:pPr>
        <w:pStyle w:val="ListParagraph"/>
        <w:tabs>
          <w:tab w:val="num" w:pos="1440"/>
        </w:tabs>
        <w:ind w:left="1440"/>
        <w:rPr>
          <w:rFonts w:ascii="Times New Roman" w:hAnsi="Times New Roman"/>
        </w:rPr>
      </w:pPr>
      <w:r w:rsidRPr="00B818F3">
        <w:rPr>
          <w:rFonts w:ascii="Times New Roman" w:hAnsi="Times New Roman"/>
        </w:rPr>
        <w:t>***</w:t>
      </w:r>
      <w:r w:rsidR="00B01CC7">
        <w:rPr>
          <w:rFonts w:ascii="Times New Roman" w:hAnsi="Times New Roman"/>
        </w:rPr>
        <w:t xml:space="preserve"> </w:t>
      </w:r>
      <w:r w:rsidRPr="00B818F3">
        <w:rPr>
          <w:rFonts w:ascii="Times New Roman" w:hAnsi="Times New Roman"/>
        </w:rPr>
        <w:t>The enrollment process is automated within the eCBSV Customer Connection, and entails providing consent for SSA to verify the EIN, el</w:t>
      </w:r>
      <w:r w:rsidR="00684CEB">
        <w:rPr>
          <w:rFonts w:ascii="Times New Roman" w:hAnsi="Times New Roman"/>
        </w:rPr>
        <w:t>ectronically signing the eCBSV user a</w:t>
      </w:r>
      <w:r w:rsidRPr="00B818F3">
        <w:rPr>
          <w:rFonts w:ascii="Times New Roman" w:hAnsi="Times New Roman"/>
        </w:rPr>
        <w:t>greement and the permitted entity certification, selecting their annual tier level, and linking to pay.gov to make payment for services.</w:t>
      </w:r>
    </w:p>
    <w:p w14:paraId="4FB4E276" w14:textId="77777777" w:rsidR="00B818F3" w:rsidRPr="00B818F3" w:rsidRDefault="00B818F3" w:rsidP="00B818F3">
      <w:pPr>
        <w:pStyle w:val="ListParagraph"/>
        <w:tabs>
          <w:tab w:val="num" w:pos="1440"/>
        </w:tabs>
        <w:ind w:left="1440"/>
        <w:rPr>
          <w:rFonts w:ascii="Times New Roman" w:hAnsi="Times New Roman"/>
        </w:rPr>
      </w:pPr>
    </w:p>
    <w:p w14:paraId="28DDC3DD" w14:textId="6960AFE4" w:rsidR="00801C57" w:rsidRDefault="00B818F3" w:rsidP="00B818F3">
      <w:pPr>
        <w:pStyle w:val="ListParagraph"/>
        <w:tabs>
          <w:tab w:val="num" w:pos="1440"/>
        </w:tabs>
        <w:ind w:left="1440"/>
        <w:rPr>
          <w:rFonts w:ascii="Times New Roman" w:hAnsi="Times New Roman"/>
        </w:rPr>
      </w:pPr>
      <w:r w:rsidRPr="00B818F3">
        <w:rPr>
          <w:rFonts w:ascii="Times New Roman" w:hAnsi="Times New Roman"/>
        </w:rPr>
        <w:t>**** There will be one CPA firm respondent (an SSA-approved contractor) to conduct compliance reviews and prepare written reports of findings on the 113 permitted entities</w:t>
      </w:r>
      <w:r w:rsidR="00801C57" w:rsidRPr="00801C57">
        <w:rPr>
          <w:rFonts w:ascii="Times New Roman" w:hAnsi="Times New Roman"/>
        </w:rPr>
        <w:t>.</w:t>
      </w:r>
    </w:p>
    <w:p w14:paraId="5EAFC65B" w14:textId="77777777" w:rsidR="00CD0666" w:rsidRDefault="00CD0666" w:rsidP="00F54732">
      <w:pPr>
        <w:widowControl/>
        <w:ind w:left="1440"/>
        <w:rPr>
          <w:rFonts w:ascii="Times New Roman" w:eastAsia="Calibri" w:hAnsi="Times New Roman"/>
          <w:snapToGrid/>
        </w:rPr>
      </w:pPr>
    </w:p>
    <w:p w14:paraId="18597F6E" w14:textId="289FCE5E" w:rsidR="00CD0666" w:rsidRPr="00557402" w:rsidRDefault="00CD0666" w:rsidP="00F54732">
      <w:pPr>
        <w:widowControl/>
        <w:ind w:left="1440"/>
        <w:rPr>
          <w:rFonts w:ascii="Times New Roman" w:eastAsia="Calibri" w:hAnsi="Times New Roman"/>
          <w:snapToGrid/>
        </w:rPr>
      </w:pPr>
      <w:r w:rsidRPr="00CD0666">
        <w:rPr>
          <w:rFonts w:ascii="Times New Roman" w:eastAsia="Calibri" w:hAnsi="Times New Roman"/>
          <w:snapToGrid/>
        </w:rPr>
        <w:t xml:space="preserve">The total burden for this ICR is </w:t>
      </w:r>
      <w:r w:rsidR="00281D99">
        <w:rPr>
          <w:rFonts w:ascii="Times New Roman" w:eastAsia="Calibri" w:hAnsi="Times New Roman"/>
          <w:b/>
          <w:snapToGrid/>
        </w:rPr>
        <w:t>73,356,159</w:t>
      </w:r>
      <w:r w:rsidRPr="00CD0666">
        <w:rPr>
          <w:rFonts w:ascii="Times New Roman" w:eastAsia="Calibri" w:hAnsi="Times New Roman"/>
          <w:snapToGrid/>
        </w:rPr>
        <w:t xml:space="preserve"> burden hours (reflecting SSA management information data), which results in an associated theoretical (not actual) opportunity cost financial burden of </w:t>
      </w:r>
      <w:r w:rsidRPr="00CD0666">
        <w:rPr>
          <w:rFonts w:ascii="Times New Roman" w:eastAsia="Calibri" w:hAnsi="Times New Roman"/>
          <w:b/>
          <w:snapToGrid/>
        </w:rPr>
        <w:t>$</w:t>
      </w:r>
      <w:r w:rsidR="003F214E">
        <w:rPr>
          <w:rFonts w:ascii="Times New Roman" w:eastAsia="Calibri" w:hAnsi="Times New Roman"/>
          <w:b/>
          <w:snapToGrid/>
        </w:rPr>
        <w:t>1,291,7</w:t>
      </w:r>
      <w:r w:rsidR="003F214E" w:rsidRPr="007B7E35">
        <w:rPr>
          <w:rFonts w:ascii="Times New Roman" w:eastAsia="Calibri" w:hAnsi="Times New Roman"/>
          <w:b/>
          <w:snapToGrid/>
        </w:rPr>
        <w:t>13,388</w:t>
      </w:r>
      <w:r w:rsidRPr="00CD0666">
        <w:rPr>
          <w:rFonts w:ascii="Times New Roman" w:eastAsia="Calibri" w:hAnsi="Times New Roman"/>
          <w:snapToGrid/>
        </w:rPr>
        <w:t>.  SSA does not charge respondents to complete our applications</w:t>
      </w:r>
      <w:r>
        <w:rPr>
          <w:rFonts w:ascii="Times New Roman" w:eastAsia="Calibri" w:hAnsi="Times New Roman"/>
          <w:snapToGrid/>
        </w:rPr>
        <w:t>.</w:t>
      </w:r>
    </w:p>
    <w:p w14:paraId="3C7A67CB" w14:textId="77777777" w:rsidR="00615EAE" w:rsidRPr="00557402" w:rsidRDefault="00615EAE" w:rsidP="00BA727A">
      <w:pPr>
        <w:widowControl/>
        <w:tabs>
          <w:tab w:val="left" w:pos="360"/>
        </w:tabs>
        <w:spacing w:line="276" w:lineRule="auto"/>
        <w:rPr>
          <w:rFonts w:ascii="Times New Roman" w:eastAsia="Calibri" w:hAnsi="Times New Roman"/>
          <w:b/>
          <w:snapToGrid/>
          <w:u w:val="single"/>
        </w:rPr>
      </w:pPr>
    </w:p>
    <w:p w14:paraId="3EEC9F80" w14:textId="77777777" w:rsidR="00351DC6" w:rsidRPr="00351DC6" w:rsidRDefault="00351DC6" w:rsidP="00684720">
      <w:pPr>
        <w:widowControl/>
        <w:spacing w:line="276" w:lineRule="auto"/>
        <w:ind w:left="1440" w:hanging="720"/>
        <w:rPr>
          <w:rFonts w:ascii="Times New Roman" w:eastAsia="Calibri" w:hAnsi="Times New Roman"/>
          <w:b/>
          <w:snapToGrid/>
        </w:rPr>
      </w:pPr>
      <w:r w:rsidRPr="00557402">
        <w:rPr>
          <w:rFonts w:ascii="Times New Roman" w:eastAsia="Calibri" w:hAnsi="Times New Roman"/>
          <w:b/>
          <w:snapToGrid/>
        </w:rPr>
        <w:t>13.</w:t>
      </w:r>
      <w:r w:rsidRPr="00557402">
        <w:rPr>
          <w:rFonts w:ascii="Times New Roman" w:eastAsia="Calibri" w:hAnsi="Times New Roman"/>
          <w:snapToGrid/>
        </w:rPr>
        <w:t xml:space="preserve"> </w:t>
      </w:r>
      <w:r w:rsidRPr="00557402">
        <w:rPr>
          <w:rFonts w:ascii="Times New Roman" w:eastAsia="Calibri" w:hAnsi="Times New Roman"/>
          <w:snapToGrid/>
        </w:rPr>
        <w:tab/>
      </w:r>
      <w:r w:rsidRPr="00557402">
        <w:rPr>
          <w:rFonts w:ascii="Times New Roman" w:eastAsia="Calibri" w:hAnsi="Times New Roman"/>
          <w:b/>
          <w:snapToGrid/>
        </w:rPr>
        <w:t>Annual</w:t>
      </w:r>
      <w:r w:rsidRPr="00557402">
        <w:rPr>
          <w:rFonts w:ascii="Times New Roman" w:eastAsia="Calibri" w:hAnsi="Times New Roman"/>
          <w:snapToGrid/>
        </w:rPr>
        <w:t xml:space="preserve"> </w:t>
      </w:r>
      <w:r w:rsidRPr="00557402">
        <w:rPr>
          <w:rFonts w:ascii="Times New Roman" w:eastAsia="Calibri" w:hAnsi="Times New Roman"/>
          <w:b/>
          <w:snapToGrid/>
        </w:rPr>
        <w:t>Cost to the Respondents (Other)</w:t>
      </w:r>
    </w:p>
    <w:p w14:paraId="5070A44A" w14:textId="5B32649D" w:rsidR="0096049F" w:rsidRDefault="0096049F" w:rsidP="0096049F">
      <w:pPr>
        <w:widowControl/>
        <w:spacing w:line="276" w:lineRule="auto"/>
        <w:ind w:left="1440"/>
        <w:rPr>
          <w:rFonts w:ascii="Times New Roman" w:eastAsia="Calibri" w:hAnsi="Times New Roman"/>
          <w:bCs/>
          <w:snapToGrid/>
        </w:rPr>
      </w:pPr>
      <w:r>
        <w:rPr>
          <w:rFonts w:ascii="Times New Roman" w:eastAsia="Calibri" w:hAnsi="Times New Roman"/>
          <w:bCs/>
          <w:snapToGrid/>
        </w:rPr>
        <w:t>Participating permitted entities</w:t>
      </w:r>
      <w:r w:rsidRPr="00557402">
        <w:rPr>
          <w:rFonts w:ascii="Times New Roman" w:eastAsia="Calibri" w:hAnsi="Times New Roman"/>
          <w:bCs/>
          <w:snapToGrid/>
        </w:rPr>
        <w:t xml:space="preserve"> must compensate SSA for non</w:t>
      </w:r>
      <w:r w:rsidRPr="00351DC6">
        <w:rPr>
          <w:rFonts w:ascii="Times New Roman" w:eastAsia="Calibri" w:hAnsi="Times New Roman"/>
          <w:bCs/>
          <w:snapToGrid/>
        </w:rPr>
        <w:t>-</w:t>
      </w:r>
      <w:r w:rsidRPr="00557402">
        <w:rPr>
          <w:rFonts w:ascii="Times New Roman" w:eastAsia="Calibri" w:hAnsi="Times New Roman"/>
          <w:bCs/>
          <w:snapToGrid/>
        </w:rPr>
        <w:t xml:space="preserve">program-related work we do </w:t>
      </w:r>
      <w:r>
        <w:rPr>
          <w:rFonts w:ascii="Times New Roman" w:eastAsia="Calibri" w:hAnsi="Times New Roman"/>
          <w:bCs/>
          <w:snapToGrid/>
        </w:rPr>
        <w:t xml:space="preserve">for </w:t>
      </w:r>
      <w:r w:rsidRPr="00557402">
        <w:rPr>
          <w:rFonts w:ascii="Times New Roman" w:eastAsia="Calibri" w:hAnsi="Times New Roman"/>
          <w:bCs/>
          <w:snapToGrid/>
        </w:rPr>
        <w:t xml:space="preserve">others so the Social Security Trust Funds do not bear the costs of such activities.  </w:t>
      </w:r>
      <w:r>
        <w:rPr>
          <w:rFonts w:ascii="Times New Roman" w:eastAsia="Calibri" w:hAnsi="Times New Roman"/>
          <w:bCs/>
          <w:snapToGrid/>
        </w:rPr>
        <w:t>B</w:t>
      </w:r>
      <w:r w:rsidRPr="00557402">
        <w:rPr>
          <w:rFonts w:ascii="Times New Roman" w:eastAsia="Calibri" w:hAnsi="Times New Roman"/>
          <w:bCs/>
          <w:snapToGrid/>
        </w:rPr>
        <w:t>efore work begins on reimbursable projects requested by non</w:t>
      </w:r>
      <w:r>
        <w:rPr>
          <w:rFonts w:ascii="Times New Roman" w:eastAsia="Calibri" w:hAnsi="Times New Roman"/>
          <w:bCs/>
          <w:snapToGrid/>
        </w:rPr>
        <w:noBreakHyphen/>
      </w:r>
      <w:r w:rsidRPr="00557402">
        <w:rPr>
          <w:rFonts w:ascii="Times New Roman" w:eastAsia="Calibri" w:hAnsi="Times New Roman"/>
          <w:bCs/>
          <w:snapToGrid/>
        </w:rPr>
        <w:t>Federal organizations</w:t>
      </w:r>
      <w:r>
        <w:rPr>
          <w:rFonts w:ascii="Times New Roman" w:eastAsia="Calibri" w:hAnsi="Times New Roman"/>
          <w:bCs/>
          <w:snapToGrid/>
        </w:rPr>
        <w:t>, we require advance payment</w:t>
      </w:r>
      <w:r w:rsidRPr="00557402">
        <w:rPr>
          <w:rFonts w:ascii="Times New Roman" w:eastAsia="Calibri" w:hAnsi="Times New Roman"/>
          <w:bCs/>
          <w:snapToGrid/>
        </w:rPr>
        <w:t xml:space="preserve">.  OMB Circular A-11 (Preparation, Submission, and Execution of the Budget) stipulates that budgetary resources for reimbursable work with non-Federal organizations, including State and local governments, are not available for obligation until receiving advance payments.  OMB designed this policy to prevent unintentional violations of the Anti-Deficiency Act.  In addition, advance payment covers the start-up costs if potential </w:t>
      </w:r>
      <w:r>
        <w:rPr>
          <w:rFonts w:ascii="Times New Roman" w:eastAsia="Calibri" w:hAnsi="Times New Roman"/>
          <w:bCs/>
          <w:snapToGrid/>
        </w:rPr>
        <w:t>permitted entities</w:t>
      </w:r>
      <w:r w:rsidRPr="00557402">
        <w:rPr>
          <w:rFonts w:ascii="Times New Roman" w:eastAsia="Calibri" w:hAnsi="Times New Roman"/>
          <w:bCs/>
          <w:snapToGrid/>
        </w:rPr>
        <w:t xml:space="preserve"> can</w:t>
      </w:r>
      <w:r w:rsidR="00684CEB">
        <w:rPr>
          <w:rFonts w:ascii="Times New Roman" w:eastAsia="Calibri" w:hAnsi="Times New Roman"/>
          <w:bCs/>
          <w:snapToGrid/>
        </w:rPr>
        <w:t>cel the user a</w:t>
      </w:r>
      <w:r>
        <w:rPr>
          <w:rFonts w:ascii="Times New Roman" w:eastAsia="Calibri" w:hAnsi="Times New Roman"/>
          <w:bCs/>
          <w:snapToGrid/>
        </w:rPr>
        <w:t>greement;</w:t>
      </w:r>
      <w:r w:rsidRPr="00557402">
        <w:rPr>
          <w:rFonts w:ascii="Times New Roman" w:eastAsia="Calibri" w:hAnsi="Times New Roman"/>
          <w:bCs/>
          <w:snapToGrid/>
        </w:rPr>
        <w:t xml:space="preserve"> it protects SSA against any uncollectible debts</w:t>
      </w:r>
      <w:r>
        <w:rPr>
          <w:rFonts w:ascii="Times New Roman" w:eastAsia="Calibri" w:hAnsi="Times New Roman"/>
          <w:bCs/>
          <w:snapToGrid/>
        </w:rPr>
        <w:t>;</w:t>
      </w:r>
      <w:r w:rsidRPr="00557402">
        <w:rPr>
          <w:rFonts w:ascii="Times New Roman" w:eastAsia="Calibri" w:hAnsi="Times New Roman"/>
          <w:bCs/>
          <w:snapToGrid/>
        </w:rPr>
        <w:t xml:space="preserve"> and prevents SSA components’ regular administrative allowance from having to absorb the cost.  Accordingly, non-Federal requesters must pay 100 percent of SSA’s estimated costs in advance.</w:t>
      </w:r>
    </w:p>
    <w:p w14:paraId="0C5B9343" w14:textId="77777777" w:rsidR="0096049F" w:rsidRPr="00557402" w:rsidRDefault="0096049F" w:rsidP="0096049F">
      <w:pPr>
        <w:widowControl/>
        <w:spacing w:line="276" w:lineRule="auto"/>
        <w:ind w:left="1440"/>
        <w:rPr>
          <w:rFonts w:ascii="Times New Roman" w:eastAsia="Calibri" w:hAnsi="Times New Roman"/>
          <w:snapToGrid/>
        </w:rPr>
      </w:pPr>
    </w:p>
    <w:p w14:paraId="302D25CA" w14:textId="6377EEF5" w:rsidR="0096049F" w:rsidRPr="008F0CD8" w:rsidRDefault="005745B3" w:rsidP="0096049F">
      <w:pPr>
        <w:widowControl/>
        <w:spacing w:line="276" w:lineRule="auto"/>
        <w:ind w:left="1440"/>
        <w:rPr>
          <w:rFonts w:ascii="Times New Roman" w:eastAsia="Calibri" w:hAnsi="Times New Roman"/>
          <w:snapToGrid/>
        </w:rPr>
      </w:pPr>
      <w:r w:rsidRPr="005745B3">
        <w:rPr>
          <w:rFonts w:ascii="Times New Roman" w:eastAsia="Calibri" w:hAnsi="Times New Roman"/>
          <w:snapToGrid/>
        </w:rPr>
        <w:t xml:space="preserve">The public cost burden is dependent upon the number of permitted entities using the service and the annual transaction volume.  In FY 2019, 10 companies enrolled out of 123 </w:t>
      </w:r>
      <w:r w:rsidRPr="005745B3">
        <w:rPr>
          <w:rFonts w:ascii="Times New Roman" w:eastAsia="Calibri" w:hAnsi="Times New Roman"/>
          <w:snapToGrid/>
        </w:rPr>
        <w:lastRenderedPageBreak/>
        <w:t>applications received to participate in eCBSV.  We based the cost estimates below on 1</w:t>
      </w:r>
      <w:r w:rsidR="00DE1B50">
        <w:rPr>
          <w:rFonts w:ascii="Times New Roman" w:eastAsia="Calibri" w:hAnsi="Times New Roman"/>
          <w:snapToGrid/>
        </w:rPr>
        <w:t>1</w:t>
      </w:r>
      <w:r w:rsidRPr="005745B3">
        <w:rPr>
          <w:rFonts w:ascii="Times New Roman" w:eastAsia="Calibri" w:hAnsi="Times New Roman"/>
          <w:snapToGrid/>
        </w:rPr>
        <w:t>3 participating permitted entities in FY 2021 submitting an anticipated volume of 1,100,000,000 transactions.  The total cost for developing the service is $45,000,000, and SSA will recover the cost over a five-year period, assuming projected enrollments and transaction volumes materialize</w:t>
      </w:r>
      <w:r w:rsidR="00740F7E">
        <w:rPr>
          <w:rFonts w:ascii="Times New Roman" w:eastAsia="Calibri" w:hAnsi="Times New Roman"/>
          <w:snapToGrid/>
        </w:rPr>
        <w:t xml:space="preserve"> using the below tier fee schedule</w:t>
      </w:r>
      <w:r w:rsidR="004F3358">
        <w:rPr>
          <w:rFonts w:ascii="Times New Roman" w:eastAsia="Calibri" w:hAnsi="Times New Roman"/>
          <w:snapToGrid/>
        </w:rPr>
        <w:t>.</w:t>
      </w:r>
    </w:p>
    <w:p w14:paraId="4F0F95EA" w14:textId="77777777" w:rsidR="0096049F" w:rsidRPr="008F0CD8" w:rsidRDefault="0096049F" w:rsidP="0096049F">
      <w:pPr>
        <w:widowControl/>
        <w:spacing w:line="276" w:lineRule="auto"/>
        <w:ind w:left="1440"/>
        <w:rPr>
          <w:rFonts w:ascii="Times New Roman" w:hAnsi="Times New Roman"/>
          <w:i/>
        </w:rPr>
      </w:pPr>
    </w:p>
    <w:p w14:paraId="23F7228D" w14:textId="77777777" w:rsidR="0096049F" w:rsidRPr="00171F3A" w:rsidRDefault="0096049F" w:rsidP="0096049F">
      <w:pPr>
        <w:widowControl/>
        <w:spacing w:line="276" w:lineRule="auto"/>
        <w:ind w:left="1440"/>
        <w:rPr>
          <w:rFonts w:ascii="Times New Roman" w:eastAsia="Calibri" w:hAnsi="Times New Roman"/>
          <w:b/>
          <w:snapToGrid/>
          <w:u w:val="single"/>
        </w:rPr>
      </w:pPr>
      <w:r w:rsidRPr="00171F3A">
        <w:rPr>
          <w:rFonts w:ascii="Times New Roman" w:eastAsia="Calibri" w:hAnsi="Times New Roman"/>
          <w:b/>
          <w:snapToGrid/>
          <w:u w:val="single"/>
        </w:rPr>
        <w:t xml:space="preserve">Total eCBSV Cost Burden </w:t>
      </w:r>
    </w:p>
    <w:p w14:paraId="5AF54E51" w14:textId="77777777" w:rsidR="0096049F" w:rsidRPr="00171F3A" w:rsidRDefault="0096049F" w:rsidP="0096049F">
      <w:pPr>
        <w:widowControl/>
        <w:spacing w:line="276" w:lineRule="auto"/>
        <w:ind w:left="1440"/>
        <w:rPr>
          <w:rFonts w:ascii="Times New Roman" w:eastAsia="Calibri" w:hAnsi="Times New Roman"/>
          <w:snapToGrid/>
        </w:rPr>
      </w:pPr>
      <w:r w:rsidRPr="00171F3A">
        <w:rPr>
          <w:rFonts w:ascii="Times New Roman" w:eastAsia="Calibri" w:hAnsi="Times New Roman"/>
          <w:snapToGrid/>
        </w:rPr>
        <w:t>Administrative Fee</w:t>
      </w:r>
      <w:r w:rsidRPr="00171F3A">
        <w:rPr>
          <w:rFonts w:ascii="Times New Roman" w:eastAsia="Calibri" w:hAnsi="Times New Roman"/>
          <w:snapToGrid/>
        </w:rPr>
        <w:tab/>
      </w:r>
      <w:r w:rsidRPr="00171F3A">
        <w:rPr>
          <w:rFonts w:ascii="Times New Roman" w:eastAsia="Calibri" w:hAnsi="Times New Roman"/>
          <w:snapToGrid/>
        </w:rPr>
        <w:tab/>
      </w:r>
      <w:r w:rsidRPr="00171F3A">
        <w:rPr>
          <w:rFonts w:ascii="Times New Roman" w:eastAsia="Calibri" w:hAnsi="Times New Roman"/>
          <w:snapToGrid/>
        </w:rPr>
        <w:tab/>
        <w:t>$3,693 x 113 companies = $417,309</w:t>
      </w:r>
    </w:p>
    <w:p w14:paraId="0FCA6420" w14:textId="65A05A95" w:rsidR="0096049F" w:rsidRPr="00171F3A" w:rsidRDefault="008956BA" w:rsidP="0096049F">
      <w:pPr>
        <w:widowControl/>
        <w:spacing w:line="276" w:lineRule="auto"/>
        <w:ind w:left="1440"/>
        <w:rPr>
          <w:u w:val="single"/>
        </w:rPr>
      </w:pPr>
      <w:r>
        <w:rPr>
          <w:rFonts w:ascii="Times New Roman" w:eastAsia="Calibri" w:hAnsi="Times New Roman"/>
          <w:snapToGrid/>
          <w:u w:val="single"/>
        </w:rPr>
        <w:t>Tier Fee</w:t>
      </w:r>
      <w:r>
        <w:rPr>
          <w:rFonts w:ascii="Times New Roman" w:eastAsia="Calibri" w:hAnsi="Times New Roman"/>
          <w:snapToGrid/>
          <w:u w:val="single"/>
        </w:rPr>
        <w:tab/>
      </w:r>
      <w:r>
        <w:rPr>
          <w:rFonts w:ascii="Times New Roman" w:eastAsia="Calibri" w:hAnsi="Times New Roman"/>
          <w:snapToGrid/>
          <w:u w:val="single"/>
        </w:rPr>
        <w:tab/>
      </w:r>
      <w:r>
        <w:rPr>
          <w:rFonts w:ascii="Times New Roman" w:eastAsia="Calibri" w:hAnsi="Times New Roman"/>
          <w:snapToGrid/>
          <w:u w:val="single"/>
        </w:rPr>
        <w:tab/>
      </w:r>
      <w:r>
        <w:rPr>
          <w:rFonts w:ascii="Times New Roman" w:eastAsia="Calibri" w:hAnsi="Times New Roman"/>
          <w:snapToGrid/>
          <w:u w:val="single"/>
        </w:rPr>
        <w:tab/>
      </w:r>
      <w:r w:rsidR="0096049F" w:rsidRPr="00171F3A">
        <w:rPr>
          <w:rFonts w:ascii="Times New Roman" w:eastAsia="Calibri" w:hAnsi="Times New Roman"/>
          <w:snapToGrid/>
          <w:u w:val="single"/>
        </w:rPr>
        <w:t>Tier cost for 113 companies = $7,476,850</w:t>
      </w:r>
    </w:p>
    <w:p w14:paraId="626FEC46" w14:textId="68D4B23A" w:rsidR="0096049F" w:rsidRPr="00171F3A" w:rsidRDefault="0096049F" w:rsidP="0096049F">
      <w:pPr>
        <w:widowControl/>
        <w:spacing w:line="276" w:lineRule="auto"/>
        <w:ind w:left="1440"/>
        <w:rPr>
          <w:rFonts w:ascii="Times New Roman" w:eastAsia="Calibri" w:hAnsi="Times New Roman"/>
          <w:b/>
          <w:snapToGrid/>
        </w:rPr>
      </w:pPr>
      <w:r w:rsidRPr="00171F3A">
        <w:rPr>
          <w:rFonts w:ascii="Times New Roman" w:eastAsia="Calibri" w:hAnsi="Times New Roman"/>
          <w:b/>
          <w:snapToGrid/>
        </w:rPr>
        <w:t>Total eCBSV Cost Burden -</w:t>
      </w:r>
      <w:r w:rsidRPr="00171F3A">
        <w:rPr>
          <w:rFonts w:ascii="Times New Roman" w:eastAsia="Calibri" w:hAnsi="Times New Roman"/>
          <w:b/>
          <w:snapToGrid/>
        </w:rPr>
        <w:tab/>
      </w:r>
      <w:r w:rsidRPr="00171F3A">
        <w:rPr>
          <w:rFonts w:ascii="Times New Roman" w:eastAsia="Calibri" w:hAnsi="Times New Roman"/>
          <w:b/>
          <w:snapToGrid/>
        </w:rPr>
        <w:tab/>
        <w:t>$7,894,159</w:t>
      </w:r>
      <w:r w:rsidR="002B1F68">
        <w:rPr>
          <w:rFonts w:ascii="Times New Roman" w:eastAsia="Calibri" w:hAnsi="Times New Roman"/>
          <w:b/>
          <w:snapToGrid/>
        </w:rPr>
        <w:t>*</w:t>
      </w:r>
    </w:p>
    <w:p w14:paraId="7AC832A9" w14:textId="77777777" w:rsidR="0096049F" w:rsidRPr="00171F3A" w:rsidRDefault="0096049F" w:rsidP="0096049F">
      <w:pPr>
        <w:ind w:left="1440"/>
        <w:rPr>
          <w:rFonts w:ascii="Times New Roman" w:eastAsia="Calibri" w:hAnsi="Times New Roman"/>
          <w:snapToGrid/>
        </w:rPr>
      </w:pPr>
    </w:p>
    <w:p w14:paraId="6D4C798C" w14:textId="10996C19" w:rsidR="0096049F" w:rsidRPr="002B1F68" w:rsidRDefault="002B1F68" w:rsidP="002B1F68">
      <w:pPr>
        <w:spacing w:line="276" w:lineRule="auto"/>
        <w:ind w:left="1440"/>
        <w:rPr>
          <w:rFonts w:ascii="Times New Roman" w:hAnsi="Times New Roman"/>
        </w:rPr>
      </w:pPr>
      <w:r w:rsidRPr="002B1F68">
        <w:rPr>
          <w:rFonts w:ascii="Times New Roman" w:hAnsi="Times New Roman"/>
        </w:rPr>
        <w:t>*</w:t>
      </w:r>
      <w:r>
        <w:rPr>
          <w:rFonts w:ascii="Times New Roman" w:hAnsi="Times New Roman"/>
        </w:rPr>
        <w:t xml:space="preserve"> </w:t>
      </w:r>
      <w:r w:rsidR="0096049F" w:rsidRPr="002B1F68">
        <w:rPr>
          <w:rFonts w:ascii="Times New Roman" w:hAnsi="Times New Roman"/>
        </w:rPr>
        <w:t xml:space="preserve">The 113 selected permitted entities estimated total annual volume at 1.1B.  </w:t>
      </w:r>
    </w:p>
    <w:p w14:paraId="29DFEF50" w14:textId="77777777" w:rsidR="0096049F" w:rsidRPr="00171F3A" w:rsidRDefault="0096049F" w:rsidP="0096049F">
      <w:pPr>
        <w:widowControl/>
        <w:spacing w:line="276" w:lineRule="auto"/>
        <w:ind w:left="1440"/>
        <w:rPr>
          <w:rFonts w:ascii="Times New Roman" w:eastAsia="Calibri" w:hAnsi="Times New Roman"/>
          <w:snapToGrid/>
        </w:rPr>
      </w:pPr>
    </w:p>
    <w:p w14:paraId="0EECA8DB" w14:textId="77777777" w:rsidR="0096049F" w:rsidRPr="00171F3A" w:rsidRDefault="0096049F" w:rsidP="0096049F">
      <w:pPr>
        <w:widowControl/>
        <w:spacing w:line="276" w:lineRule="auto"/>
        <w:ind w:left="1440"/>
        <w:rPr>
          <w:rFonts w:ascii="Times New Roman" w:eastAsia="Calibri" w:hAnsi="Times New Roman"/>
          <w:snapToGrid/>
        </w:rPr>
      </w:pPr>
      <w:r w:rsidRPr="00171F3A">
        <w:rPr>
          <w:rFonts w:ascii="Times New Roman" w:eastAsia="Calibri" w:hAnsi="Times New Roman"/>
          <w:snapToGrid/>
        </w:rPr>
        <w:t xml:space="preserve">SSA uses the fee to allocate for forecasted systems and operational expenses; agency oversight; and overhead necessary to sustain the service. </w:t>
      </w:r>
    </w:p>
    <w:p w14:paraId="3E82660F" w14:textId="77777777" w:rsidR="005745B3" w:rsidRPr="00171F3A" w:rsidRDefault="005745B3" w:rsidP="0096049F">
      <w:pPr>
        <w:widowControl/>
        <w:spacing w:line="276" w:lineRule="auto"/>
        <w:ind w:left="1440"/>
        <w:rPr>
          <w:rFonts w:ascii="Times New Roman" w:hAnsi="Times New Roman"/>
        </w:rPr>
      </w:pPr>
    </w:p>
    <w:p w14:paraId="7A2D332A" w14:textId="77777777" w:rsidR="00936907" w:rsidRPr="00171F3A" w:rsidRDefault="00936907" w:rsidP="00936907">
      <w:pPr>
        <w:widowControl/>
        <w:spacing w:after="200" w:line="276" w:lineRule="auto"/>
        <w:ind w:left="1440"/>
        <w:rPr>
          <w:rFonts w:ascii="Times New Roman" w:eastAsia="Calibri" w:hAnsi="Times New Roman"/>
          <w:b/>
          <w:snapToGrid/>
          <w:u w:val="single"/>
        </w:rPr>
      </w:pPr>
      <w:r w:rsidRPr="00171F3A">
        <w:rPr>
          <w:rFonts w:ascii="Times New Roman" w:eastAsia="Calibri" w:hAnsi="Times New Roman"/>
          <w:b/>
          <w:snapToGrid/>
          <w:u w:val="single"/>
        </w:rPr>
        <w:t>eCBSV Tier Fee Schedule</w:t>
      </w:r>
    </w:p>
    <w:tbl>
      <w:tblPr>
        <w:tblStyle w:val="TableGrid"/>
        <w:tblW w:w="0" w:type="auto"/>
        <w:tblInd w:w="1440" w:type="dxa"/>
        <w:tblLook w:val="04A0" w:firstRow="1" w:lastRow="0" w:firstColumn="1" w:lastColumn="0" w:noHBand="0" w:noVBand="1"/>
      </w:tblPr>
      <w:tblGrid>
        <w:gridCol w:w="776"/>
        <w:gridCol w:w="3511"/>
        <w:gridCol w:w="1517"/>
      </w:tblGrid>
      <w:tr w:rsidR="00936907" w:rsidRPr="00171F3A" w14:paraId="2C4386CF" w14:textId="77777777" w:rsidTr="00043F26">
        <w:tc>
          <w:tcPr>
            <w:tcW w:w="776" w:type="dxa"/>
            <w:shd w:val="clear" w:color="auto" w:fill="auto"/>
          </w:tcPr>
          <w:p w14:paraId="3310C294" w14:textId="77777777" w:rsidR="00936907" w:rsidRPr="00171F3A" w:rsidRDefault="00936907" w:rsidP="00043F26">
            <w:pPr>
              <w:widowControl/>
              <w:spacing w:after="200" w:line="276" w:lineRule="auto"/>
              <w:jc w:val="center"/>
              <w:rPr>
                <w:rFonts w:ascii="Times New Roman" w:eastAsia="Calibri" w:hAnsi="Times New Roman"/>
                <w:b/>
                <w:snapToGrid/>
              </w:rPr>
            </w:pPr>
            <w:r w:rsidRPr="00171F3A">
              <w:rPr>
                <w:rFonts w:ascii="Times New Roman" w:eastAsia="Calibri" w:hAnsi="Times New Roman"/>
                <w:b/>
                <w:snapToGrid/>
              </w:rPr>
              <w:t>Tier</w:t>
            </w:r>
          </w:p>
        </w:tc>
        <w:tc>
          <w:tcPr>
            <w:tcW w:w="3511" w:type="dxa"/>
            <w:shd w:val="clear" w:color="auto" w:fill="auto"/>
          </w:tcPr>
          <w:p w14:paraId="25056608" w14:textId="77777777" w:rsidR="00936907" w:rsidRPr="00171F3A" w:rsidRDefault="00936907" w:rsidP="00043F26">
            <w:pPr>
              <w:widowControl/>
              <w:spacing w:after="200" w:line="276" w:lineRule="auto"/>
              <w:jc w:val="center"/>
              <w:rPr>
                <w:rFonts w:ascii="Times New Roman" w:eastAsia="Calibri" w:hAnsi="Times New Roman"/>
                <w:b/>
                <w:snapToGrid/>
              </w:rPr>
            </w:pPr>
            <w:r w:rsidRPr="00171F3A">
              <w:rPr>
                <w:rFonts w:ascii="Times New Roman" w:eastAsia="Calibri" w:hAnsi="Times New Roman"/>
                <w:b/>
                <w:snapToGrid/>
              </w:rPr>
              <w:t>Annual Transaction Threshold</w:t>
            </w:r>
          </w:p>
        </w:tc>
        <w:tc>
          <w:tcPr>
            <w:tcW w:w="1517" w:type="dxa"/>
            <w:shd w:val="clear" w:color="auto" w:fill="auto"/>
          </w:tcPr>
          <w:p w14:paraId="5B281892" w14:textId="77777777" w:rsidR="00936907" w:rsidRPr="00171F3A" w:rsidRDefault="00936907" w:rsidP="00043F26">
            <w:pPr>
              <w:widowControl/>
              <w:spacing w:after="200" w:line="276" w:lineRule="auto"/>
              <w:jc w:val="center"/>
              <w:rPr>
                <w:rFonts w:ascii="Times New Roman" w:eastAsia="Calibri" w:hAnsi="Times New Roman"/>
                <w:b/>
                <w:snapToGrid/>
              </w:rPr>
            </w:pPr>
            <w:r w:rsidRPr="00171F3A">
              <w:rPr>
                <w:rFonts w:ascii="Times New Roman" w:eastAsia="Calibri" w:hAnsi="Times New Roman"/>
                <w:b/>
                <w:snapToGrid/>
              </w:rPr>
              <w:t>Annual Fee</w:t>
            </w:r>
          </w:p>
        </w:tc>
      </w:tr>
      <w:tr w:rsidR="003E1739" w:rsidRPr="00171F3A" w14:paraId="2E5D678B" w14:textId="77777777" w:rsidTr="00043F26">
        <w:tc>
          <w:tcPr>
            <w:tcW w:w="776" w:type="dxa"/>
            <w:shd w:val="clear" w:color="auto" w:fill="auto"/>
          </w:tcPr>
          <w:p w14:paraId="35979103" w14:textId="77777777" w:rsidR="003E1739" w:rsidRPr="00684CEB" w:rsidRDefault="003E1739" w:rsidP="003E1739">
            <w:pPr>
              <w:widowControl/>
              <w:spacing w:after="200" w:line="276" w:lineRule="auto"/>
              <w:rPr>
                <w:rFonts w:ascii="Times New Roman" w:eastAsia="Calibri" w:hAnsi="Times New Roman"/>
                <w:b/>
                <w:snapToGrid/>
              </w:rPr>
            </w:pPr>
            <w:r w:rsidRPr="00684CEB">
              <w:rPr>
                <w:rFonts w:ascii="Times New Roman" w:eastAsia="Calibri" w:hAnsi="Times New Roman"/>
                <w:b/>
                <w:snapToGrid/>
              </w:rPr>
              <w:t>1</w:t>
            </w:r>
          </w:p>
        </w:tc>
        <w:tc>
          <w:tcPr>
            <w:tcW w:w="3511" w:type="dxa"/>
            <w:shd w:val="clear" w:color="auto" w:fill="auto"/>
          </w:tcPr>
          <w:p w14:paraId="12A2E374" w14:textId="66A21E59" w:rsidR="003E1739" w:rsidRPr="00171F3A" w:rsidRDefault="003E1739" w:rsidP="003E1739">
            <w:pPr>
              <w:widowControl/>
              <w:spacing w:after="200" w:line="276" w:lineRule="auto"/>
              <w:rPr>
                <w:rFonts w:ascii="Times New Roman" w:eastAsia="Calibri" w:hAnsi="Times New Roman"/>
                <w:snapToGrid/>
              </w:rPr>
            </w:pPr>
            <w:r w:rsidRPr="00171F3A">
              <w:rPr>
                <w:rFonts w:ascii="Times New Roman" w:eastAsia="Calibri" w:hAnsi="Times New Roman"/>
              </w:rPr>
              <w:t>Up to 1,000</w:t>
            </w:r>
          </w:p>
        </w:tc>
        <w:tc>
          <w:tcPr>
            <w:tcW w:w="1517" w:type="dxa"/>
            <w:shd w:val="clear" w:color="auto" w:fill="auto"/>
          </w:tcPr>
          <w:p w14:paraId="0DFC97EF" w14:textId="00EF4796" w:rsidR="003E1739" w:rsidRPr="00171F3A" w:rsidRDefault="003E1739" w:rsidP="003E1739">
            <w:pPr>
              <w:widowControl/>
              <w:spacing w:after="200" w:line="276" w:lineRule="auto"/>
              <w:rPr>
                <w:rFonts w:ascii="Times New Roman" w:eastAsia="Calibri" w:hAnsi="Times New Roman"/>
                <w:snapToGrid/>
              </w:rPr>
            </w:pPr>
            <w:r w:rsidRPr="00171F3A">
              <w:rPr>
                <w:rFonts w:ascii="Times New Roman" w:eastAsia="Calibri" w:hAnsi="Times New Roman"/>
              </w:rPr>
              <w:t>$400</w:t>
            </w:r>
          </w:p>
        </w:tc>
      </w:tr>
      <w:tr w:rsidR="003E1739" w:rsidRPr="00171F3A" w14:paraId="2D23A227" w14:textId="77777777" w:rsidTr="00043F26">
        <w:tc>
          <w:tcPr>
            <w:tcW w:w="776" w:type="dxa"/>
            <w:shd w:val="clear" w:color="auto" w:fill="auto"/>
          </w:tcPr>
          <w:p w14:paraId="505A106B" w14:textId="77777777" w:rsidR="003E1739" w:rsidRPr="00684CEB" w:rsidRDefault="003E1739" w:rsidP="003E1739">
            <w:pPr>
              <w:widowControl/>
              <w:spacing w:after="200" w:line="276" w:lineRule="auto"/>
              <w:rPr>
                <w:rFonts w:ascii="Times New Roman" w:eastAsia="Calibri" w:hAnsi="Times New Roman"/>
                <w:b/>
                <w:snapToGrid/>
              </w:rPr>
            </w:pPr>
            <w:r w:rsidRPr="00684CEB">
              <w:rPr>
                <w:rFonts w:ascii="Times New Roman" w:eastAsia="Calibri" w:hAnsi="Times New Roman"/>
                <w:b/>
                <w:snapToGrid/>
              </w:rPr>
              <w:t>2</w:t>
            </w:r>
          </w:p>
        </w:tc>
        <w:tc>
          <w:tcPr>
            <w:tcW w:w="3511" w:type="dxa"/>
            <w:shd w:val="clear" w:color="auto" w:fill="auto"/>
          </w:tcPr>
          <w:p w14:paraId="2A34B94E" w14:textId="0DF67C7E" w:rsidR="003E1739" w:rsidRPr="00171F3A" w:rsidRDefault="003E1739" w:rsidP="003E1739">
            <w:pPr>
              <w:widowControl/>
              <w:spacing w:after="200" w:line="276" w:lineRule="auto"/>
              <w:rPr>
                <w:rFonts w:ascii="Times New Roman" w:eastAsia="Calibri" w:hAnsi="Times New Roman"/>
                <w:snapToGrid/>
              </w:rPr>
            </w:pPr>
            <w:r w:rsidRPr="00171F3A">
              <w:rPr>
                <w:rFonts w:ascii="Times New Roman" w:eastAsia="Calibri" w:hAnsi="Times New Roman"/>
              </w:rPr>
              <w:t>Up to 10,000</w:t>
            </w:r>
          </w:p>
        </w:tc>
        <w:tc>
          <w:tcPr>
            <w:tcW w:w="1517" w:type="dxa"/>
            <w:shd w:val="clear" w:color="auto" w:fill="auto"/>
          </w:tcPr>
          <w:p w14:paraId="43B5B669" w14:textId="197BE907" w:rsidR="003E1739" w:rsidRPr="00171F3A" w:rsidRDefault="003E1739" w:rsidP="003E1739">
            <w:pPr>
              <w:widowControl/>
              <w:spacing w:after="200" w:line="276" w:lineRule="auto"/>
              <w:rPr>
                <w:rFonts w:ascii="Times New Roman" w:eastAsia="Calibri" w:hAnsi="Times New Roman"/>
                <w:snapToGrid/>
              </w:rPr>
            </w:pPr>
            <w:r w:rsidRPr="00171F3A">
              <w:rPr>
                <w:rFonts w:ascii="Times New Roman" w:eastAsia="Calibri" w:hAnsi="Times New Roman"/>
              </w:rPr>
              <w:t>$3,030</w:t>
            </w:r>
          </w:p>
        </w:tc>
      </w:tr>
      <w:tr w:rsidR="003E1739" w:rsidRPr="00171F3A" w14:paraId="4BDC699C" w14:textId="77777777" w:rsidTr="00043F26">
        <w:tc>
          <w:tcPr>
            <w:tcW w:w="776" w:type="dxa"/>
            <w:shd w:val="clear" w:color="auto" w:fill="auto"/>
          </w:tcPr>
          <w:p w14:paraId="4B107AFF" w14:textId="77777777" w:rsidR="003E1739" w:rsidRPr="00684CEB" w:rsidRDefault="003E1739" w:rsidP="003E1739">
            <w:pPr>
              <w:widowControl/>
              <w:spacing w:after="200" w:line="276" w:lineRule="auto"/>
              <w:rPr>
                <w:rFonts w:ascii="Times New Roman" w:eastAsia="Calibri" w:hAnsi="Times New Roman"/>
                <w:b/>
                <w:snapToGrid/>
              </w:rPr>
            </w:pPr>
            <w:r w:rsidRPr="00684CEB">
              <w:rPr>
                <w:rFonts w:ascii="Times New Roman" w:eastAsia="Calibri" w:hAnsi="Times New Roman"/>
                <w:b/>
                <w:snapToGrid/>
              </w:rPr>
              <w:t>3</w:t>
            </w:r>
          </w:p>
        </w:tc>
        <w:tc>
          <w:tcPr>
            <w:tcW w:w="3511" w:type="dxa"/>
            <w:shd w:val="clear" w:color="auto" w:fill="auto"/>
          </w:tcPr>
          <w:p w14:paraId="524B77C1" w14:textId="511CDCFC" w:rsidR="003E1739" w:rsidRPr="00171F3A" w:rsidRDefault="003E1739" w:rsidP="003E1739">
            <w:pPr>
              <w:widowControl/>
              <w:spacing w:after="200" w:line="276" w:lineRule="auto"/>
              <w:rPr>
                <w:rFonts w:ascii="Times New Roman" w:eastAsia="Calibri" w:hAnsi="Times New Roman"/>
                <w:snapToGrid/>
              </w:rPr>
            </w:pPr>
            <w:r w:rsidRPr="00171F3A">
              <w:rPr>
                <w:rFonts w:ascii="Times New Roman" w:eastAsia="Calibri" w:hAnsi="Times New Roman"/>
              </w:rPr>
              <w:t>Up to 200,000</w:t>
            </w:r>
          </w:p>
        </w:tc>
        <w:tc>
          <w:tcPr>
            <w:tcW w:w="1517" w:type="dxa"/>
            <w:shd w:val="clear" w:color="auto" w:fill="auto"/>
          </w:tcPr>
          <w:p w14:paraId="343E0F44" w14:textId="20EFF781" w:rsidR="003E1739" w:rsidRPr="00171F3A" w:rsidRDefault="003E1739" w:rsidP="003E1739">
            <w:pPr>
              <w:widowControl/>
              <w:spacing w:after="200" w:line="360" w:lineRule="auto"/>
              <w:rPr>
                <w:rFonts w:ascii="Times New Roman" w:eastAsia="Calibri" w:hAnsi="Times New Roman"/>
                <w:snapToGrid/>
              </w:rPr>
            </w:pPr>
            <w:r w:rsidRPr="00171F3A">
              <w:rPr>
                <w:rFonts w:ascii="Times New Roman" w:eastAsia="Calibri" w:hAnsi="Times New Roman"/>
              </w:rPr>
              <w:t>$14,300</w:t>
            </w:r>
          </w:p>
        </w:tc>
      </w:tr>
      <w:tr w:rsidR="003E1739" w:rsidRPr="00171F3A" w14:paraId="6199F22C" w14:textId="77777777" w:rsidTr="00043F26">
        <w:tc>
          <w:tcPr>
            <w:tcW w:w="776" w:type="dxa"/>
            <w:shd w:val="clear" w:color="auto" w:fill="auto"/>
          </w:tcPr>
          <w:p w14:paraId="61CC7191" w14:textId="77777777" w:rsidR="003E1739" w:rsidRPr="00684CEB" w:rsidRDefault="003E1739" w:rsidP="003E1739">
            <w:pPr>
              <w:widowControl/>
              <w:spacing w:after="200" w:line="276" w:lineRule="auto"/>
              <w:rPr>
                <w:rFonts w:ascii="Times New Roman" w:eastAsia="Calibri" w:hAnsi="Times New Roman"/>
                <w:b/>
                <w:snapToGrid/>
              </w:rPr>
            </w:pPr>
            <w:r w:rsidRPr="00684CEB">
              <w:rPr>
                <w:rFonts w:ascii="Times New Roman" w:eastAsia="Calibri" w:hAnsi="Times New Roman"/>
                <w:b/>
                <w:snapToGrid/>
              </w:rPr>
              <w:t>4</w:t>
            </w:r>
          </w:p>
        </w:tc>
        <w:tc>
          <w:tcPr>
            <w:tcW w:w="3511" w:type="dxa"/>
            <w:shd w:val="clear" w:color="auto" w:fill="auto"/>
          </w:tcPr>
          <w:p w14:paraId="7B2DB717" w14:textId="05C1F181" w:rsidR="003E1739" w:rsidRPr="00171F3A" w:rsidRDefault="003E1739" w:rsidP="003E1739">
            <w:pPr>
              <w:widowControl/>
              <w:spacing w:after="200" w:line="276" w:lineRule="auto"/>
              <w:rPr>
                <w:rFonts w:ascii="Times New Roman" w:eastAsia="Calibri" w:hAnsi="Times New Roman"/>
                <w:snapToGrid/>
              </w:rPr>
            </w:pPr>
            <w:r w:rsidRPr="00171F3A">
              <w:rPr>
                <w:rFonts w:ascii="Times New Roman" w:eastAsia="Calibri" w:hAnsi="Times New Roman"/>
              </w:rPr>
              <w:t>Up to 50 million</w:t>
            </w:r>
          </w:p>
        </w:tc>
        <w:tc>
          <w:tcPr>
            <w:tcW w:w="1517" w:type="dxa"/>
            <w:shd w:val="clear" w:color="auto" w:fill="auto"/>
          </w:tcPr>
          <w:p w14:paraId="23D5F162" w14:textId="3C19E584" w:rsidR="003E1739" w:rsidRPr="00171F3A" w:rsidRDefault="003E1739" w:rsidP="003E1739">
            <w:pPr>
              <w:widowControl/>
              <w:spacing w:after="200" w:line="276" w:lineRule="auto"/>
              <w:rPr>
                <w:rFonts w:ascii="Times New Roman" w:eastAsia="Calibri" w:hAnsi="Times New Roman"/>
                <w:snapToGrid/>
              </w:rPr>
            </w:pPr>
            <w:r w:rsidRPr="00171F3A">
              <w:rPr>
                <w:rFonts w:ascii="Times New Roman" w:eastAsia="Calibri" w:hAnsi="Times New Roman"/>
              </w:rPr>
              <w:t>$276,500</w:t>
            </w:r>
          </w:p>
        </w:tc>
      </w:tr>
      <w:tr w:rsidR="003E1739" w:rsidRPr="00171F3A" w14:paraId="64B0E95B" w14:textId="77777777" w:rsidTr="00043F26">
        <w:tc>
          <w:tcPr>
            <w:tcW w:w="776" w:type="dxa"/>
            <w:shd w:val="clear" w:color="auto" w:fill="auto"/>
          </w:tcPr>
          <w:p w14:paraId="69EC7D50" w14:textId="77777777" w:rsidR="003E1739" w:rsidRPr="00684CEB" w:rsidRDefault="003E1739" w:rsidP="003E1739">
            <w:pPr>
              <w:widowControl/>
              <w:spacing w:after="200" w:line="276" w:lineRule="auto"/>
              <w:rPr>
                <w:rFonts w:ascii="Times New Roman" w:eastAsia="Calibri" w:hAnsi="Times New Roman"/>
                <w:b/>
                <w:snapToGrid/>
              </w:rPr>
            </w:pPr>
            <w:r w:rsidRPr="00684CEB">
              <w:rPr>
                <w:rFonts w:ascii="Times New Roman" w:eastAsia="Calibri" w:hAnsi="Times New Roman"/>
                <w:b/>
                <w:snapToGrid/>
              </w:rPr>
              <w:t>5</w:t>
            </w:r>
          </w:p>
        </w:tc>
        <w:tc>
          <w:tcPr>
            <w:tcW w:w="3511" w:type="dxa"/>
            <w:shd w:val="clear" w:color="auto" w:fill="auto"/>
          </w:tcPr>
          <w:p w14:paraId="30906584" w14:textId="77D001B9" w:rsidR="003E1739" w:rsidRPr="00171F3A" w:rsidRDefault="003E1739" w:rsidP="003E1739">
            <w:pPr>
              <w:widowControl/>
              <w:spacing w:after="200" w:line="276" w:lineRule="auto"/>
              <w:rPr>
                <w:rFonts w:ascii="Times New Roman" w:eastAsia="Calibri" w:hAnsi="Times New Roman"/>
                <w:snapToGrid/>
              </w:rPr>
            </w:pPr>
            <w:r w:rsidRPr="00171F3A">
              <w:rPr>
                <w:rFonts w:ascii="Times New Roman" w:eastAsia="Calibri" w:hAnsi="Times New Roman"/>
              </w:rPr>
              <w:t>Up to 2 billion</w:t>
            </w:r>
          </w:p>
        </w:tc>
        <w:tc>
          <w:tcPr>
            <w:tcW w:w="1517" w:type="dxa"/>
            <w:shd w:val="clear" w:color="auto" w:fill="auto"/>
          </w:tcPr>
          <w:p w14:paraId="2E9351AB" w14:textId="67ECBA8F" w:rsidR="003E1739" w:rsidRPr="00171F3A" w:rsidRDefault="003E1739" w:rsidP="003E1739">
            <w:pPr>
              <w:widowControl/>
              <w:spacing w:after="200" w:line="276" w:lineRule="auto"/>
              <w:rPr>
                <w:rFonts w:ascii="Times New Roman" w:eastAsia="Calibri" w:hAnsi="Times New Roman"/>
                <w:snapToGrid/>
              </w:rPr>
            </w:pPr>
            <w:r w:rsidRPr="00171F3A">
              <w:rPr>
                <w:rFonts w:ascii="Times New Roman" w:eastAsia="Calibri" w:hAnsi="Times New Roman"/>
              </w:rPr>
              <w:t>$860,000</w:t>
            </w:r>
          </w:p>
        </w:tc>
      </w:tr>
    </w:tbl>
    <w:p w14:paraId="71F538E6" w14:textId="77777777" w:rsidR="00936907" w:rsidRPr="00171F3A" w:rsidRDefault="00936907" w:rsidP="00936907">
      <w:pPr>
        <w:widowControl/>
        <w:ind w:left="1440"/>
        <w:rPr>
          <w:rFonts w:ascii="Times New Roman" w:eastAsia="Calibri" w:hAnsi="Times New Roman"/>
          <w:b/>
          <w:snapToGrid/>
          <w:u w:val="single"/>
        </w:rPr>
      </w:pPr>
    </w:p>
    <w:p w14:paraId="6794BE85" w14:textId="138F0A62" w:rsidR="00936907" w:rsidRPr="00171F3A" w:rsidRDefault="00171F3A" w:rsidP="00936907">
      <w:pPr>
        <w:widowControl/>
        <w:spacing w:after="200" w:line="276" w:lineRule="auto"/>
        <w:ind w:left="1440"/>
        <w:rPr>
          <w:rFonts w:ascii="Times New Roman" w:eastAsia="Calibri" w:hAnsi="Times New Roman"/>
          <w:snapToGrid/>
        </w:rPr>
      </w:pPr>
      <w:r>
        <w:rPr>
          <w:rFonts w:ascii="Times New Roman" w:eastAsia="Calibri" w:hAnsi="Times New Roman"/>
          <w:snapToGrid/>
        </w:rPr>
        <w:t xml:space="preserve">SSA requires each enrolled permitted entity </w:t>
      </w:r>
      <w:r w:rsidR="005729FF" w:rsidRPr="00171F3A">
        <w:rPr>
          <w:rFonts w:ascii="Times New Roman" w:eastAsia="Calibri" w:hAnsi="Times New Roman"/>
          <w:snapToGrid/>
        </w:rPr>
        <w:t>to remit the above tier based subscription fee for the 365-day agreement period and the ap</w:t>
      </w:r>
      <w:r w:rsidR="00B71055">
        <w:rPr>
          <w:rFonts w:ascii="Times New Roman" w:eastAsia="Calibri" w:hAnsi="Times New Roman"/>
          <w:snapToGrid/>
        </w:rPr>
        <w:t>propriate administrative fee.  SSA will charge n</w:t>
      </w:r>
      <w:r w:rsidR="005729FF" w:rsidRPr="00171F3A">
        <w:rPr>
          <w:rFonts w:ascii="Times New Roman" w:eastAsia="Calibri" w:hAnsi="Times New Roman"/>
          <w:snapToGrid/>
        </w:rPr>
        <w:t xml:space="preserve">ewly enrolled entities a startup administrative fee of $3,693.  After the initial year, </w:t>
      </w:r>
      <w:r w:rsidR="00B71055">
        <w:rPr>
          <w:rFonts w:ascii="Times New Roman" w:eastAsia="Calibri" w:hAnsi="Times New Roman"/>
          <w:snapToGrid/>
        </w:rPr>
        <w:t xml:space="preserve">SSA will charge </w:t>
      </w:r>
      <w:r w:rsidR="005729FF" w:rsidRPr="00171F3A">
        <w:rPr>
          <w:rFonts w:ascii="Times New Roman" w:eastAsia="Calibri" w:hAnsi="Times New Roman"/>
          <w:snapToGrid/>
        </w:rPr>
        <w:t xml:space="preserve">the entities a renewal administrative fee of $1,691 each time the </w:t>
      </w:r>
      <w:r w:rsidR="005729FF" w:rsidRPr="00171F3A">
        <w:rPr>
          <w:rFonts w:ascii="Times New Roman" w:eastAsia="Calibri" w:hAnsi="Times New Roman"/>
          <w:snapToGrid/>
        </w:rPr>
        <w:lastRenderedPageBreak/>
        <w:t xml:space="preserve">agreement is renewed or </w:t>
      </w:r>
      <w:r w:rsidR="00B71055">
        <w:rPr>
          <w:rFonts w:ascii="Times New Roman" w:eastAsia="Calibri" w:hAnsi="Times New Roman"/>
          <w:snapToGrid/>
        </w:rPr>
        <w:t>amended.  SSA calculates f</w:t>
      </w:r>
      <w:r w:rsidR="005729FF" w:rsidRPr="00171F3A">
        <w:rPr>
          <w:rFonts w:ascii="Times New Roman" w:eastAsia="Calibri" w:hAnsi="Times New Roman"/>
          <w:snapToGrid/>
        </w:rPr>
        <w:t>ees based on forecasted systems and operational expenses; agency oversight, overhead and CPA audit contract costs</w:t>
      </w:r>
      <w:r w:rsidR="00936907" w:rsidRPr="00171F3A">
        <w:rPr>
          <w:rFonts w:ascii="Times New Roman" w:eastAsia="Calibri" w:hAnsi="Times New Roman"/>
          <w:snapToGrid/>
        </w:rPr>
        <w:t>.</w:t>
      </w:r>
    </w:p>
    <w:p w14:paraId="1DA7657A" w14:textId="4492C803" w:rsidR="00936907" w:rsidRPr="00936907" w:rsidRDefault="00CB6FF6" w:rsidP="00936907">
      <w:pPr>
        <w:widowControl/>
        <w:spacing w:line="276" w:lineRule="auto"/>
        <w:ind w:left="1440"/>
        <w:rPr>
          <w:rFonts w:ascii="Times New Roman" w:hAnsi="Times New Roman"/>
          <w:sz w:val="20"/>
          <w:szCs w:val="20"/>
        </w:rPr>
      </w:pPr>
      <w:r w:rsidRPr="00171F3A">
        <w:rPr>
          <w:rFonts w:ascii="Times New Roman" w:eastAsia="Calibri" w:hAnsi="Times New Roman"/>
          <w:snapToGrid/>
        </w:rPr>
        <w:t>In addition, SSA will periodically recalculate costs to provide eCBSV services, and revise the tier fee schedule accordingly.  We will notify companies of the tier fee schedule in effect at the renewal of eCBSV user agreements and via notice in the Federal Register; companies have the opportunity to cancel the agreement or renew service according to the new tier fee schedule</w:t>
      </w:r>
      <w:r w:rsidR="00936907" w:rsidRPr="00171F3A">
        <w:rPr>
          <w:rFonts w:ascii="Times New Roman" w:eastAsia="Calibri" w:hAnsi="Times New Roman"/>
          <w:snapToGrid/>
        </w:rPr>
        <w:t>.</w:t>
      </w:r>
    </w:p>
    <w:p w14:paraId="0DC91BE3" w14:textId="77777777" w:rsidR="00F435D2" w:rsidRPr="00F435D2" w:rsidRDefault="00F435D2" w:rsidP="0096049F">
      <w:pPr>
        <w:widowControl/>
        <w:rPr>
          <w:rFonts w:ascii="Times New Roman" w:hAnsi="Times New Roman"/>
          <w:sz w:val="20"/>
          <w:szCs w:val="20"/>
        </w:rPr>
      </w:pPr>
    </w:p>
    <w:p w14:paraId="773F9E64" w14:textId="77777777" w:rsidR="00121032" w:rsidRPr="00557402" w:rsidRDefault="00A45D82" w:rsidP="005D6C1C">
      <w:pPr>
        <w:numPr>
          <w:ilvl w:val="0"/>
          <w:numId w:val="3"/>
        </w:numPr>
        <w:tabs>
          <w:tab w:val="clear" w:pos="360"/>
          <w:tab w:val="left" w:pos="720"/>
        </w:tabs>
        <w:ind w:left="1440" w:hanging="720"/>
        <w:rPr>
          <w:rFonts w:ascii="Times New Roman" w:hAnsi="Times New Roman"/>
        </w:rPr>
      </w:pPr>
      <w:r w:rsidRPr="00557402">
        <w:rPr>
          <w:rFonts w:ascii="Times New Roman" w:hAnsi="Times New Roman"/>
          <w:b/>
        </w:rPr>
        <w:t>Annual Cost To Federal Government</w:t>
      </w:r>
    </w:p>
    <w:p w14:paraId="143BE4F4" w14:textId="28D96FE9" w:rsidR="005D1597" w:rsidRDefault="00936907" w:rsidP="00F435D2">
      <w:pPr>
        <w:tabs>
          <w:tab w:val="left" w:pos="720"/>
        </w:tabs>
        <w:ind w:left="1440"/>
        <w:rPr>
          <w:rFonts w:ascii="Times New Roman" w:eastAsia="Calibri" w:hAnsi="Times New Roman"/>
          <w:bCs/>
          <w:snapToGrid/>
        </w:rPr>
      </w:pPr>
      <w:r w:rsidRPr="00936907">
        <w:rPr>
          <w:rFonts w:ascii="Times New Roman" w:eastAsia="Calibri" w:hAnsi="Times New Roman"/>
          <w:bCs/>
          <w:snapToGrid/>
        </w:rPr>
        <w:t>SSA designated eCBSV a fee-based service recovering the full costs (See #13 above).</w:t>
      </w:r>
    </w:p>
    <w:p w14:paraId="38A70474" w14:textId="77777777" w:rsidR="00936907" w:rsidRPr="00557402" w:rsidRDefault="00936907" w:rsidP="00F435D2">
      <w:pPr>
        <w:tabs>
          <w:tab w:val="left" w:pos="720"/>
        </w:tabs>
        <w:ind w:left="1440"/>
        <w:rPr>
          <w:rFonts w:ascii="Times New Roman" w:hAnsi="Times New Roman"/>
        </w:rPr>
      </w:pPr>
    </w:p>
    <w:p w14:paraId="58CB15A4" w14:textId="77777777" w:rsidR="008D7F52" w:rsidRPr="00557402" w:rsidRDefault="00A45D82" w:rsidP="00F435D2">
      <w:pPr>
        <w:ind w:left="1440" w:hanging="720"/>
        <w:rPr>
          <w:rFonts w:ascii="Times New Roman" w:hAnsi="Times New Roman"/>
          <w:b/>
        </w:rPr>
      </w:pPr>
      <w:r w:rsidRPr="00557402">
        <w:rPr>
          <w:rFonts w:ascii="Times New Roman" w:hAnsi="Times New Roman"/>
          <w:b/>
        </w:rPr>
        <w:t>15.</w:t>
      </w:r>
      <w:r w:rsidRPr="00557402">
        <w:rPr>
          <w:rFonts w:ascii="Times New Roman" w:hAnsi="Times New Roman"/>
        </w:rPr>
        <w:tab/>
      </w:r>
      <w:r w:rsidRPr="00557402">
        <w:rPr>
          <w:rFonts w:ascii="Times New Roman" w:hAnsi="Times New Roman"/>
          <w:b/>
        </w:rPr>
        <w:t xml:space="preserve">Program Changes or Adjustments to the Information Collection </w:t>
      </w:r>
      <w:r w:rsidR="00063A05" w:rsidRPr="00557402">
        <w:rPr>
          <w:rFonts w:ascii="Times New Roman" w:hAnsi="Times New Roman"/>
          <w:b/>
        </w:rPr>
        <w:t>Request</w:t>
      </w:r>
    </w:p>
    <w:p w14:paraId="020A2CD8" w14:textId="5342BDCA" w:rsidR="008D7F52" w:rsidRPr="00CD0666" w:rsidRDefault="007C65CF" w:rsidP="007C65CF">
      <w:pPr>
        <w:ind w:left="1440"/>
        <w:rPr>
          <w:rFonts w:ascii="Times New Roman" w:hAnsi="Times New Roman"/>
        </w:rPr>
      </w:pPr>
      <w:r w:rsidRPr="007C65CF">
        <w:rPr>
          <w:rFonts w:ascii="Times New Roman" w:hAnsi="Times New Roman"/>
        </w:rPr>
        <w:t xml:space="preserve">When we last cleared this </w:t>
      </w:r>
      <w:r w:rsidR="00684CEB">
        <w:rPr>
          <w:rFonts w:ascii="Times New Roman" w:hAnsi="Times New Roman"/>
        </w:rPr>
        <w:t>information collection</w:t>
      </w:r>
      <w:r w:rsidRPr="007C65CF">
        <w:rPr>
          <w:rFonts w:ascii="Times New Roman" w:hAnsi="Times New Roman"/>
        </w:rPr>
        <w:t xml:space="preserve"> in 20</w:t>
      </w:r>
      <w:r>
        <w:rPr>
          <w:rFonts w:ascii="Times New Roman" w:hAnsi="Times New Roman"/>
        </w:rPr>
        <w:t>20</w:t>
      </w:r>
      <w:r w:rsidRPr="007C65CF">
        <w:rPr>
          <w:rFonts w:ascii="Times New Roman" w:hAnsi="Times New Roman"/>
        </w:rPr>
        <w:t xml:space="preserve">, the burden was </w:t>
      </w:r>
      <w:r>
        <w:rPr>
          <w:rFonts w:ascii="Times New Roman" w:hAnsi="Times New Roman"/>
        </w:rPr>
        <w:t>20,468,687</w:t>
      </w:r>
      <w:r w:rsidRPr="007C65CF">
        <w:rPr>
          <w:rFonts w:ascii="Times New Roman" w:hAnsi="Times New Roman"/>
        </w:rPr>
        <w:t xml:space="preserve"> hours.  However, we are currently reporting a burden of </w:t>
      </w:r>
      <w:r>
        <w:rPr>
          <w:rFonts w:ascii="Times New Roman" w:hAnsi="Times New Roman"/>
        </w:rPr>
        <w:t>73,356,159</w:t>
      </w:r>
      <w:r w:rsidRPr="007C65CF">
        <w:rPr>
          <w:rFonts w:ascii="Times New Roman" w:hAnsi="Times New Roman"/>
        </w:rPr>
        <w:t xml:space="preserve"> hours.  This change stems </w:t>
      </w:r>
      <w:r>
        <w:rPr>
          <w:rFonts w:ascii="Times New Roman" w:hAnsi="Times New Roman"/>
        </w:rPr>
        <w:t xml:space="preserve">from </w:t>
      </w:r>
      <w:r w:rsidRPr="007C65CF">
        <w:rPr>
          <w:rFonts w:ascii="Times New Roman" w:hAnsi="Times New Roman"/>
        </w:rPr>
        <w:t>a</w:t>
      </w:r>
      <w:r>
        <w:rPr>
          <w:rFonts w:ascii="Times New Roman" w:hAnsi="Times New Roman"/>
        </w:rPr>
        <w:t xml:space="preserve">n </w:t>
      </w:r>
      <w:r w:rsidRPr="007C65CF">
        <w:rPr>
          <w:rFonts w:ascii="Times New Roman" w:hAnsi="Times New Roman"/>
        </w:rPr>
        <w:t xml:space="preserve">increase in the number of responses from </w:t>
      </w:r>
      <w:r>
        <w:rPr>
          <w:rFonts w:ascii="Times New Roman" w:hAnsi="Times New Roman"/>
        </w:rPr>
        <w:t>614,000,040</w:t>
      </w:r>
      <w:r w:rsidRPr="007C65CF">
        <w:rPr>
          <w:rFonts w:ascii="Times New Roman" w:hAnsi="Times New Roman"/>
        </w:rPr>
        <w:t xml:space="preserve"> to </w:t>
      </w:r>
      <w:r>
        <w:rPr>
          <w:rFonts w:ascii="Times New Roman" w:hAnsi="Times New Roman"/>
        </w:rPr>
        <w:t>2,200,000,452</w:t>
      </w:r>
      <w:r w:rsidRPr="007C65CF">
        <w:rPr>
          <w:rFonts w:ascii="Times New Roman" w:hAnsi="Times New Roman"/>
        </w:rPr>
        <w:t>.  There is no change to the burden time per response.  These figures represent current Management Information data</w:t>
      </w:r>
      <w:r>
        <w:rPr>
          <w:rFonts w:ascii="Times New Roman" w:hAnsi="Times New Roman"/>
        </w:rPr>
        <w:t xml:space="preserve"> for the full release of the eCBSV service.</w:t>
      </w:r>
    </w:p>
    <w:p w14:paraId="5B66FC09" w14:textId="77777777" w:rsidR="005D1597" w:rsidRPr="00557402" w:rsidRDefault="005D1597" w:rsidP="00F435D2">
      <w:pPr>
        <w:ind w:left="1440"/>
        <w:rPr>
          <w:rFonts w:ascii="Times New Roman" w:hAnsi="Times New Roman"/>
        </w:rPr>
      </w:pPr>
    </w:p>
    <w:p w14:paraId="18DFCD80" w14:textId="77777777" w:rsidR="00063A05" w:rsidRPr="00557402" w:rsidRDefault="00A45D82" w:rsidP="00F435D2">
      <w:pPr>
        <w:ind w:left="1440" w:hanging="720"/>
        <w:rPr>
          <w:rFonts w:ascii="Times New Roman" w:hAnsi="Times New Roman"/>
        </w:rPr>
      </w:pPr>
      <w:r w:rsidRPr="00557402">
        <w:rPr>
          <w:rFonts w:ascii="Times New Roman" w:hAnsi="Times New Roman"/>
          <w:b/>
        </w:rPr>
        <w:t>16.</w:t>
      </w:r>
      <w:r w:rsidRPr="00557402">
        <w:rPr>
          <w:rFonts w:ascii="Times New Roman" w:hAnsi="Times New Roman"/>
        </w:rPr>
        <w:t xml:space="preserve">  </w:t>
      </w:r>
      <w:r w:rsidRPr="00557402">
        <w:rPr>
          <w:rFonts w:ascii="Times New Roman" w:hAnsi="Times New Roman"/>
        </w:rPr>
        <w:tab/>
      </w:r>
      <w:r w:rsidRPr="00557402">
        <w:rPr>
          <w:rFonts w:ascii="Times New Roman" w:hAnsi="Times New Roman"/>
          <w:b/>
        </w:rPr>
        <w:t>Plans for Publication Information Collection</w:t>
      </w:r>
      <w:r w:rsidR="003B30B4" w:rsidRPr="00557402">
        <w:rPr>
          <w:rFonts w:ascii="Times New Roman" w:hAnsi="Times New Roman"/>
          <w:b/>
        </w:rPr>
        <w:t xml:space="preserve"> Results</w:t>
      </w:r>
    </w:p>
    <w:p w14:paraId="5CDB6504" w14:textId="77777777" w:rsidR="008D7F52" w:rsidRPr="00557402" w:rsidRDefault="008D7F52" w:rsidP="00684720">
      <w:pPr>
        <w:pStyle w:val="NoSpacing"/>
        <w:ind w:left="1440"/>
        <w:rPr>
          <w:bCs/>
          <w:iCs/>
        </w:rPr>
      </w:pPr>
      <w:r w:rsidRPr="00557402">
        <w:rPr>
          <w:bCs/>
          <w:iCs/>
        </w:rPr>
        <w:t>SSA will not publish the results of the information collection.</w:t>
      </w:r>
    </w:p>
    <w:p w14:paraId="67BF2929" w14:textId="77777777" w:rsidR="008D7F52" w:rsidRPr="00557402" w:rsidRDefault="008D7F52" w:rsidP="00684720">
      <w:pPr>
        <w:pStyle w:val="NoSpacing"/>
        <w:ind w:left="1440"/>
      </w:pPr>
    </w:p>
    <w:p w14:paraId="2B9AFA83" w14:textId="77777777" w:rsidR="003B30B4" w:rsidRPr="00557402" w:rsidRDefault="00A45D82" w:rsidP="00684720">
      <w:pPr>
        <w:ind w:left="1440" w:hanging="720"/>
        <w:rPr>
          <w:rFonts w:ascii="Times New Roman" w:hAnsi="Times New Roman"/>
        </w:rPr>
      </w:pPr>
      <w:r w:rsidRPr="00557402">
        <w:rPr>
          <w:rFonts w:ascii="Times New Roman" w:hAnsi="Times New Roman"/>
          <w:b/>
        </w:rPr>
        <w:t>17.</w:t>
      </w:r>
      <w:r w:rsidRPr="00557402">
        <w:rPr>
          <w:rFonts w:ascii="Times New Roman" w:hAnsi="Times New Roman"/>
        </w:rPr>
        <w:tab/>
      </w:r>
      <w:r w:rsidR="003B30B4" w:rsidRPr="00557402">
        <w:rPr>
          <w:rFonts w:ascii="Times New Roman" w:hAnsi="Times New Roman"/>
          <w:b/>
        </w:rPr>
        <w:t>Displaying the OMB Approval Expiration Date</w:t>
      </w:r>
    </w:p>
    <w:p w14:paraId="73894DA7" w14:textId="77777777" w:rsidR="008D7F52" w:rsidRPr="00557402" w:rsidRDefault="008D7F52" w:rsidP="00684720">
      <w:pPr>
        <w:ind w:left="1440"/>
        <w:rPr>
          <w:rFonts w:ascii="Times New Roman" w:hAnsi="Times New Roman"/>
        </w:rPr>
      </w:pPr>
      <w:r w:rsidRPr="00557402">
        <w:rPr>
          <w:rFonts w:ascii="Times New Roman" w:hAnsi="Times New Roman"/>
        </w:rPr>
        <w:t>SSA is not requesting an exception to the requirement to display the OMB approval expiration date.</w:t>
      </w:r>
    </w:p>
    <w:p w14:paraId="7574E63E" w14:textId="77777777" w:rsidR="00C84685" w:rsidRPr="00557402" w:rsidRDefault="00C84685" w:rsidP="00684720">
      <w:pPr>
        <w:ind w:left="1440"/>
        <w:rPr>
          <w:rFonts w:ascii="Times New Roman" w:hAnsi="Times New Roman"/>
        </w:rPr>
      </w:pPr>
    </w:p>
    <w:p w14:paraId="20B1CBFD" w14:textId="77777777" w:rsidR="003B30B4" w:rsidRPr="00557402" w:rsidRDefault="00A45D82" w:rsidP="005D6C1C">
      <w:pPr>
        <w:numPr>
          <w:ilvl w:val="0"/>
          <w:numId w:val="6"/>
        </w:numPr>
        <w:ind w:left="1440"/>
        <w:rPr>
          <w:rFonts w:ascii="Times New Roman" w:hAnsi="Times New Roman"/>
          <w:b/>
        </w:rPr>
      </w:pPr>
      <w:r w:rsidRPr="00557402">
        <w:rPr>
          <w:rFonts w:ascii="Times New Roman" w:hAnsi="Times New Roman"/>
          <w:b/>
        </w:rPr>
        <w:t>Exceptions to Certification Statement</w:t>
      </w:r>
    </w:p>
    <w:p w14:paraId="5FEB7F4D" w14:textId="77777777" w:rsidR="0086351E" w:rsidRPr="00557402" w:rsidRDefault="0086351E" w:rsidP="0068472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57402">
        <w:rPr>
          <w:rFonts w:ascii="Times New Roman" w:hAnsi="Times New Roman"/>
          <w:b w:val="0"/>
          <w:i w:val="0"/>
        </w:rPr>
        <w:t xml:space="preserve">SSA is not requesting an exception to the certification requirements at </w:t>
      </w:r>
      <w:r w:rsidR="002B7F5A">
        <w:rPr>
          <w:rFonts w:ascii="Times New Roman" w:hAnsi="Times New Roman"/>
          <w:b w:val="0"/>
        </w:rPr>
        <w:t>5 CFR </w:t>
      </w:r>
      <w:r w:rsidRPr="007D0963">
        <w:rPr>
          <w:rFonts w:ascii="Times New Roman" w:hAnsi="Times New Roman"/>
          <w:b w:val="0"/>
        </w:rPr>
        <w:t>1320.9</w:t>
      </w:r>
      <w:r w:rsidRPr="00557402">
        <w:rPr>
          <w:rFonts w:ascii="Times New Roman" w:hAnsi="Times New Roman"/>
          <w:b w:val="0"/>
          <w:i w:val="0"/>
        </w:rPr>
        <w:t xml:space="preserve"> and related provisions at </w:t>
      </w:r>
      <w:r w:rsidRPr="007D0963">
        <w:rPr>
          <w:rFonts w:ascii="Times New Roman" w:hAnsi="Times New Roman"/>
          <w:b w:val="0"/>
        </w:rPr>
        <w:t>5 CFR 1320.8(b)(3)</w:t>
      </w:r>
      <w:r w:rsidRPr="00557402">
        <w:rPr>
          <w:rFonts w:ascii="Times New Roman" w:hAnsi="Times New Roman"/>
          <w:b w:val="0"/>
          <w:i w:val="0"/>
        </w:rPr>
        <w:t xml:space="preserve">. </w:t>
      </w:r>
    </w:p>
    <w:p w14:paraId="687F975E" w14:textId="77777777" w:rsidR="008F1FC1" w:rsidRPr="00557402" w:rsidRDefault="008F1FC1" w:rsidP="00806984">
      <w:pPr>
        <w:ind w:left="720"/>
        <w:rPr>
          <w:rFonts w:ascii="Times New Roman" w:hAnsi="Times New Roman"/>
        </w:rPr>
      </w:pPr>
    </w:p>
    <w:p w14:paraId="01DEEEA8" w14:textId="77777777" w:rsidR="00A45D82" w:rsidRPr="00557402" w:rsidRDefault="00A45D82" w:rsidP="00684720">
      <w:pPr>
        <w:ind w:left="720" w:hanging="540"/>
        <w:rPr>
          <w:rFonts w:ascii="Times New Roman" w:hAnsi="Times New Roman"/>
          <w:b/>
          <w:u w:val="single"/>
        </w:rPr>
      </w:pPr>
      <w:r w:rsidRPr="00557402">
        <w:rPr>
          <w:rFonts w:ascii="Times New Roman" w:hAnsi="Times New Roman"/>
          <w:b/>
        </w:rPr>
        <w:t xml:space="preserve">B. </w:t>
      </w:r>
      <w:r w:rsidR="00684720">
        <w:rPr>
          <w:rFonts w:ascii="Times New Roman" w:hAnsi="Times New Roman"/>
          <w:b/>
        </w:rPr>
        <w:t xml:space="preserve">    </w:t>
      </w:r>
      <w:r w:rsidRPr="00557402">
        <w:rPr>
          <w:rFonts w:ascii="Times New Roman" w:hAnsi="Times New Roman"/>
          <w:b/>
          <w:u w:val="single"/>
        </w:rPr>
        <w:t>Collections of Information Employing Statistical Methods</w:t>
      </w:r>
    </w:p>
    <w:p w14:paraId="60766005" w14:textId="77777777" w:rsidR="00684720" w:rsidRDefault="0041131C" w:rsidP="002610CE">
      <w:pPr>
        <w:rPr>
          <w:rFonts w:ascii="Times New Roman" w:hAnsi="Times New Roman"/>
        </w:rPr>
      </w:pPr>
      <w:r w:rsidRPr="00557402">
        <w:rPr>
          <w:rFonts w:ascii="Times New Roman" w:hAnsi="Times New Roman"/>
        </w:rPr>
        <w:tab/>
      </w:r>
    </w:p>
    <w:p w14:paraId="384E9A7A" w14:textId="77777777" w:rsidR="00664553" w:rsidRPr="00557402" w:rsidRDefault="0041131C" w:rsidP="00F435D2">
      <w:pPr>
        <w:ind w:left="1440"/>
        <w:rPr>
          <w:rFonts w:ascii="Times New Roman" w:hAnsi="Times New Roman"/>
        </w:rPr>
      </w:pPr>
      <w:r w:rsidRPr="00557402">
        <w:rPr>
          <w:rFonts w:ascii="Times New Roman" w:hAnsi="Times New Roman"/>
        </w:rPr>
        <w:t>SSA does not use statistical methods for this informatio</w:t>
      </w:r>
      <w:r w:rsidR="00767668">
        <w:rPr>
          <w:rFonts w:ascii="Times New Roman" w:hAnsi="Times New Roman"/>
        </w:rPr>
        <w:t>n collection.</w:t>
      </w:r>
    </w:p>
    <w:sectPr w:rsidR="00664553" w:rsidRPr="00557402" w:rsidSect="006847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FEB6A" w14:textId="77777777" w:rsidR="00C43FEA" w:rsidRDefault="00C43FEA">
      <w:r>
        <w:separator/>
      </w:r>
    </w:p>
  </w:endnote>
  <w:endnote w:type="continuationSeparator" w:id="0">
    <w:p w14:paraId="0087E12B" w14:textId="77777777" w:rsidR="00C43FEA" w:rsidRDefault="00C4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C7C2B" w14:textId="77777777" w:rsidR="00C43FEA" w:rsidRDefault="00C43FEA">
      <w:r>
        <w:separator/>
      </w:r>
    </w:p>
  </w:footnote>
  <w:footnote w:type="continuationSeparator" w:id="0">
    <w:p w14:paraId="047B6940" w14:textId="77777777" w:rsidR="00C43FEA" w:rsidRDefault="00C43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E9D407C"/>
    <w:multiLevelType w:val="multilevel"/>
    <w:tmpl w:val="3F90E3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8C6653"/>
    <w:multiLevelType w:val="hybridMultilevel"/>
    <w:tmpl w:val="77C6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E1367"/>
    <w:multiLevelType w:val="hybridMultilevel"/>
    <w:tmpl w:val="20BAE8D6"/>
    <w:lvl w:ilvl="0" w:tplc="62B42912">
      <w:start w:val="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2530923"/>
    <w:multiLevelType w:val="hybridMultilevel"/>
    <w:tmpl w:val="0A92D8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6776C0"/>
    <w:multiLevelType w:val="hybridMultilevel"/>
    <w:tmpl w:val="9A66C0D6"/>
    <w:lvl w:ilvl="0" w:tplc="06DA2E36">
      <w:start w:val="1"/>
      <w:numFmt w:val="lowerLetter"/>
      <w:lvlText w:val="%1."/>
      <w:lvlJc w:val="left"/>
      <w:pPr>
        <w:ind w:left="2520" w:hanging="360"/>
      </w:pPr>
      <w:rPr>
        <w:b/>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6067DC7"/>
    <w:multiLevelType w:val="hybridMultilevel"/>
    <w:tmpl w:val="B308D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8" w15:restartNumberingAfterBreak="0">
    <w:nsid w:val="616F329C"/>
    <w:multiLevelType w:val="hybridMultilevel"/>
    <w:tmpl w:val="D54C6A0C"/>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B4C46E14">
      <w:start w:val="1"/>
      <w:numFmt w:val="low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1BB001F"/>
    <w:multiLevelType w:val="hybridMultilevel"/>
    <w:tmpl w:val="A53A2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1"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2"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12"/>
  </w:num>
  <w:num w:numId="2">
    <w:abstractNumId w:val="11"/>
  </w:num>
  <w:num w:numId="3">
    <w:abstractNumId w:val="10"/>
  </w:num>
  <w:num w:numId="4">
    <w:abstractNumId w:val="7"/>
  </w:num>
  <w:num w:numId="5">
    <w:abstractNumId w:val="8"/>
  </w:num>
  <w:num w:numId="6">
    <w:abstractNumId w:val="0"/>
  </w:num>
  <w:num w:numId="7">
    <w:abstractNumId w:val="5"/>
  </w:num>
  <w:num w:numId="8">
    <w:abstractNumId w:val="4"/>
  </w:num>
  <w:num w:numId="9">
    <w:abstractNumId w:val="2"/>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9"/>
  </w:num>
  <w:num w:numId="1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00757"/>
    <w:rsid w:val="0000559F"/>
    <w:rsid w:val="00005629"/>
    <w:rsid w:val="00020043"/>
    <w:rsid w:val="000222A7"/>
    <w:rsid w:val="00025216"/>
    <w:rsid w:val="00025D75"/>
    <w:rsid w:val="0002677F"/>
    <w:rsid w:val="00027CC8"/>
    <w:rsid w:val="00040AA6"/>
    <w:rsid w:val="0004513B"/>
    <w:rsid w:val="00045C54"/>
    <w:rsid w:val="00046FD4"/>
    <w:rsid w:val="00056904"/>
    <w:rsid w:val="00063A05"/>
    <w:rsid w:val="00064047"/>
    <w:rsid w:val="00064C18"/>
    <w:rsid w:val="0006715D"/>
    <w:rsid w:val="0007138B"/>
    <w:rsid w:val="0007189E"/>
    <w:rsid w:val="00077720"/>
    <w:rsid w:val="00077E0E"/>
    <w:rsid w:val="00080AE7"/>
    <w:rsid w:val="00081212"/>
    <w:rsid w:val="0008175C"/>
    <w:rsid w:val="000822FC"/>
    <w:rsid w:val="00086E84"/>
    <w:rsid w:val="00091B0E"/>
    <w:rsid w:val="00094619"/>
    <w:rsid w:val="000958AA"/>
    <w:rsid w:val="000A0739"/>
    <w:rsid w:val="000A2527"/>
    <w:rsid w:val="000A5C77"/>
    <w:rsid w:val="000A639B"/>
    <w:rsid w:val="000A6AE3"/>
    <w:rsid w:val="000A6E0F"/>
    <w:rsid w:val="000B2B68"/>
    <w:rsid w:val="000B3B12"/>
    <w:rsid w:val="000B4F2B"/>
    <w:rsid w:val="000B623F"/>
    <w:rsid w:val="000B7FDB"/>
    <w:rsid w:val="000C151C"/>
    <w:rsid w:val="000C1C8F"/>
    <w:rsid w:val="000C1D18"/>
    <w:rsid w:val="000C7AE4"/>
    <w:rsid w:val="000D5F5C"/>
    <w:rsid w:val="000E2747"/>
    <w:rsid w:val="000E3930"/>
    <w:rsid w:val="001047EC"/>
    <w:rsid w:val="00106039"/>
    <w:rsid w:val="00106206"/>
    <w:rsid w:val="00106937"/>
    <w:rsid w:val="00106D2A"/>
    <w:rsid w:val="001100B5"/>
    <w:rsid w:val="0011599F"/>
    <w:rsid w:val="0012041B"/>
    <w:rsid w:val="00121032"/>
    <w:rsid w:val="00122EE2"/>
    <w:rsid w:val="00127980"/>
    <w:rsid w:val="001373CB"/>
    <w:rsid w:val="00146275"/>
    <w:rsid w:val="0015576E"/>
    <w:rsid w:val="00156CF9"/>
    <w:rsid w:val="00170F77"/>
    <w:rsid w:val="00171F3A"/>
    <w:rsid w:val="00182F9C"/>
    <w:rsid w:val="00192897"/>
    <w:rsid w:val="00193615"/>
    <w:rsid w:val="001A1DAC"/>
    <w:rsid w:val="001A3317"/>
    <w:rsid w:val="001A5469"/>
    <w:rsid w:val="001A65F9"/>
    <w:rsid w:val="001B03AE"/>
    <w:rsid w:val="001B7CF4"/>
    <w:rsid w:val="001C08F3"/>
    <w:rsid w:val="001C232C"/>
    <w:rsid w:val="001C6D3A"/>
    <w:rsid w:val="001D0B21"/>
    <w:rsid w:val="001D6019"/>
    <w:rsid w:val="001E1076"/>
    <w:rsid w:val="001E4876"/>
    <w:rsid w:val="001F1204"/>
    <w:rsid w:val="001F7A57"/>
    <w:rsid w:val="00202C06"/>
    <w:rsid w:val="00214CF0"/>
    <w:rsid w:val="002236A8"/>
    <w:rsid w:val="00225F1B"/>
    <w:rsid w:val="002321B0"/>
    <w:rsid w:val="00232A93"/>
    <w:rsid w:val="00234F35"/>
    <w:rsid w:val="0023671C"/>
    <w:rsid w:val="00237EAA"/>
    <w:rsid w:val="00246836"/>
    <w:rsid w:val="0026052B"/>
    <w:rsid w:val="002610CE"/>
    <w:rsid w:val="00270EF2"/>
    <w:rsid w:val="00276AAF"/>
    <w:rsid w:val="002801F8"/>
    <w:rsid w:val="00281D99"/>
    <w:rsid w:val="0029639B"/>
    <w:rsid w:val="002A2AD8"/>
    <w:rsid w:val="002A4C30"/>
    <w:rsid w:val="002A6052"/>
    <w:rsid w:val="002B0820"/>
    <w:rsid w:val="002B1F68"/>
    <w:rsid w:val="002B5578"/>
    <w:rsid w:val="002B7F5A"/>
    <w:rsid w:val="002C5EA3"/>
    <w:rsid w:val="002E18CF"/>
    <w:rsid w:val="002E2BA7"/>
    <w:rsid w:val="002E335E"/>
    <w:rsid w:val="002E465D"/>
    <w:rsid w:val="002F1C11"/>
    <w:rsid w:val="00300C66"/>
    <w:rsid w:val="0030194C"/>
    <w:rsid w:val="003020AE"/>
    <w:rsid w:val="0030214B"/>
    <w:rsid w:val="00302545"/>
    <w:rsid w:val="003043B1"/>
    <w:rsid w:val="003057AC"/>
    <w:rsid w:val="003176E1"/>
    <w:rsid w:val="00321492"/>
    <w:rsid w:val="003240E0"/>
    <w:rsid w:val="0032648F"/>
    <w:rsid w:val="0032701A"/>
    <w:rsid w:val="00331821"/>
    <w:rsid w:val="00333D3D"/>
    <w:rsid w:val="00335EEE"/>
    <w:rsid w:val="003447C9"/>
    <w:rsid w:val="003465DC"/>
    <w:rsid w:val="003469CA"/>
    <w:rsid w:val="00351DC6"/>
    <w:rsid w:val="0036049C"/>
    <w:rsid w:val="00365FAB"/>
    <w:rsid w:val="0036696D"/>
    <w:rsid w:val="0038050B"/>
    <w:rsid w:val="00384B54"/>
    <w:rsid w:val="00391510"/>
    <w:rsid w:val="0039155B"/>
    <w:rsid w:val="003955B5"/>
    <w:rsid w:val="003979D2"/>
    <w:rsid w:val="003A2D2B"/>
    <w:rsid w:val="003A308B"/>
    <w:rsid w:val="003A42C3"/>
    <w:rsid w:val="003A483C"/>
    <w:rsid w:val="003A4BEE"/>
    <w:rsid w:val="003A4F15"/>
    <w:rsid w:val="003B15EC"/>
    <w:rsid w:val="003B30B4"/>
    <w:rsid w:val="003B5BAF"/>
    <w:rsid w:val="003C10BD"/>
    <w:rsid w:val="003C7F45"/>
    <w:rsid w:val="003D12E5"/>
    <w:rsid w:val="003E145C"/>
    <w:rsid w:val="003E1739"/>
    <w:rsid w:val="003E2518"/>
    <w:rsid w:val="003E7CC6"/>
    <w:rsid w:val="003F214E"/>
    <w:rsid w:val="00400FE0"/>
    <w:rsid w:val="00402D68"/>
    <w:rsid w:val="00405548"/>
    <w:rsid w:val="0041131C"/>
    <w:rsid w:val="00411C71"/>
    <w:rsid w:val="004141C3"/>
    <w:rsid w:val="00420A47"/>
    <w:rsid w:val="004317CB"/>
    <w:rsid w:val="00447EE9"/>
    <w:rsid w:val="0045065A"/>
    <w:rsid w:val="004509AD"/>
    <w:rsid w:val="0045551D"/>
    <w:rsid w:val="00463815"/>
    <w:rsid w:val="004654F5"/>
    <w:rsid w:val="00465C74"/>
    <w:rsid w:val="00475350"/>
    <w:rsid w:val="00477692"/>
    <w:rsid w:val="00481B44"/>
    <w:rsid w:val="004825A9"/>
    <w:rsid w:val="00484662"/>
    <w:rsid w:val="0049110E"/>
    <w:rsid w:val="004915B5"/>
    <w:rsid w:val="004959A9"/>
    <w:rsid w:val="00495E72"/>
    <w:rsid w:val="004A0C9A"/>
    <w:rsid w:val="004A2451"/>
    <w:rsid w:val="004A442C"/>
    <w:rsid w:val="004A7B1B"/>
    <w:rsid w:val="004B6713"/>
    <w:rsid w:val="004B7429"/>
    <w:rsid w:val="004C0A70"/>
    <w:rsid w:val="004C418C"/>
    <w:rsid w:val="004D417D"/>
    <w:rsid w:val="004E0178"/>
    <w:rsid w:val="004E146D"/>
    <w:rsid w:val="004E7885"/>
    <w:rsid w:val="004F3358"/>
    <w:rsid w:val="0050197F"/>
    <w:rsid w:val="00501D1D"/>
    <w:rsid w:val="005040EC"/>
    <w:rsid w:val="00506486"/>
    <w:rsid w:val="00513831"/>
    <w:rsid w:val="00515D3C"/>
    <w:rsid w:val="00517483"/>
    <w:rsid w:val="005214F4"/>
    <w:rsid w:val="005271F7"/>
    <w:rsid w:val="0053018A"/>
    <w:rsid w:val="00537A5B"/>
    <w:rsid w:val="005420FB"/>
    <w:rsid w:val="00557402"/>
    <w:rsid w:val="0056004F"/>
    <w:rsid w:val="0056163C"/>
    <w:rsid w:val="005721D4"/>
    <w:rsid w:val="005729FF"/>
    <w:rsid w:val="005745B3"/>
    <w:rsid w:val="00576B0A"/>
    <w:rsid w:val="00577091"/>
    <w:rsid w:val="00580915"/>
    <w:rsid w:val="005866EF"/>
    <w:rsid w:val="00593A36"/>
    <w:rsid w:val="00594CB3"/>
    <w:rsid w:val="005A0550"/>
    <w:rsid w:val="005A1198"/>
    <w:rsid w:val="005B15E5"/>
    <w:rsid w:val="005C2C39"/>
    <w:rsid w:val="005D1597"/>
    <w:rsid w:val="005D4107"/>
    <w:rsid w:val="005D6C1C"/>
    <w:rsid w:val="005E0527"/>
    <w:rsid w:val="005E5CE4"/>
    <w:rsid w:val="005F208A"/>
    <w:rsid w:val="005F3D29"/>
    <w:rsid w:val="006002DD"/>
    <w:rsid w:val="006013A3"/>
    <w:rsid w:val="00604F43"/>
    <w:rsid w:val="00606DA3"/>
    <w:rsid w:val="00610485"/>
    <w:rsid w:val="00615EAE"/>
    <w:rsid w:val="006160ED"/>
    <w:rsid w:val="00616182"/>
    <w:rsid w:val="00617562"/>
    <w:rsid w:val="00621D5A"/>
    <w:rsid w:val="00624977"/>
    <w:rsid w:val="00626C22"/>
    <w:rsid w:val="00631F1B"/>
    <w:rsid w:val="0063304D"/>
    <w:rsid w:val="00637438"/>
    <w:rsid w:val="00637AF5"/>
    <w:rsid w:val="00640A26"/>
    <w:rsid w:val="00646664"/>
    <w:rsid w:val="0065519C"/>
    <w:rsid w:val="00660791"/>
    <w:rsid w:val="00660CF8"/>
    <w:rsid w:val="00661DFE"/>
    <w:rsid w:val="00663881"/>
    <w:rsid w:val="006639D0"/>
    <w:rsid w:val="00664553"/>
    <w:rsid w:val="00676043"/>
    <w:rsid w:val="006806E1"/>
    <w:rsid w:val="00684720"/>
    <w:rsid w:val="00684CEB"/>
    <w:rsid w:val="00692A5E"/>
    <w:rsid w:val="0069667B"/>
    <w:rsid w:val="006B173F"/>
    <w:rsid w:val="006B17EF"/>
    <w:rsid w:val="006B297F"/>
    <w:rsid w:val="006B69A8"/>
    <w:rsid w:val="006C141C"/>
    <w:rsid w:val="006C7ABB"/>
    <w:rsid w:val="006D447F"/>
    <w:rsid w:val="006F2B8B"/>
    <w:rsid w:val="006F4D0F"/>
    <w:rsid w:val="0070479A"/>
    <w:rsid w:val="00712F1B"/>
    <w:rsid w:val="0071437B"/>
    <w:rsid w:val="007177ED"/>
    <w:rsid w:val="007245C9"/>
    <w:rsid w:val="007256B3"/>
    <w:rsid w:val="00727A8E"/>
    <w:rsid w:val="00731792"/>
    <w:rsid w:val="00732F94"/>
    <w:rsid w:val="007332FF"/>
    <w:rsid w:val="007404A5"/>
    <w:rsid w:val="00740F7E"/>
    <w:rsid w:val="00742B56"/>
    <w:rsid w:val="00745462"/>
    <w:rsid w:val="00750E0E"/>
    <w:rsid w:val="0075616C"/>
    <w:rsid w:val="00757B9E"/>
    <w:rsid w:val="00761CA0"/>
    <w:rsid w:val="00764685"/>
    <w:rsid w:val="00767668"/>
    <w:rsid w:val="00772011"/>
    <w:rsid w:val="00780D30"/>
    <w:rsid w:val="00795BAB"/>
    <w:rsid w:val="00797FA6"/>
    <w:rsid w:val="007A08D1"/>
    <w:rsid w:val="007A1B88"/>
    <w:rsid w:val="007A2DEE"/>
    <w:rsid w:val="007A500C"/>
    <w:rsid w:val="007B007C"/>
    <w:rsid w:val="007B7E35"/>
    <w:rsid w:val="007C47B3"/>
    <w:rsid w:val="007C51FA"/>
    <w:rsid w:val="007C65CF"/>
    <w:rsid w:val="007D061D"/>
    <w:rsid w:val="007D0963"/>
    <w:rsid w:val="007D22EB"/>
    <w:rsid w:val="007D4EB9"/>
    <w:rsid w:val="007D5A0E"/>
    <w:rsid w:val="007E17BD"/>
    <w:rsid w:val="007E2FE4"/>
    <w:rsid w:val="007E45FB"/>
    <w:rsid w:val="007E4E47"/>
    <w:rsid w:val="00801C57"/>
    <w:rsid w:val="00806984"/>
    <w:rsid w:val="00810485"/>
    <w:rsid w:val="00812FBB"/>
    <w:rsid w:val="00813ABD"/>
    <w:rsid w:val="00814772"/>
    <w:rsid w:val="00814EB5"/>
    <w:rsid w:val="00824D72"/>
    <w:rsid w:val="00825B97"/>
    <w:rsid w:val="00827B25"/>
    <w:rsid w:val="00830BAB"/>
    <w:rsid w:val="008321AB"/>
    <w:rsid w:val="008472AB"/>
    <w:rsid w:val="0084775D"/>
    <w:rsid w:val="00851BCA"/>
    <w:rsid w:val="008524B2"/>
    <w:rsid w:val="00852764"/>
    <w:rsid w:val="00856747"/>
    <w:rsid w:val="0086351E"/>
    <w:rsid w:val="0086463A"/>
    <w:rsid w:val="00865ED4"/>
    <w:rsid w:val="008754ED"/>
    <w:rsid w:val="00891CA8"/>
    <w:rsid w:val="00892E12"/>
    <w:rsid w:val="008956BA"/>
    <w:rsid w:val="008A2651"/>
    <w:rsid w:val="008A5917"/>
    <w:rsid w:val="008B2EE4"/>
    <w:rsid w:val="008B3544"/>
    <w:rsid w:val="008B6774"/>
    <w:rsid w:val="008B6E1D"/>
    <w:rsid w:val="008D158E"/>
    <w:rsid w:val="008D3CDC"/>
    <w:rsid w:val="008D7F52"/>
    <w:rsid w:val="008E3A3A"/>
    <w:rsid w:val="008E524E"/>
    <w:rsid w:val="008E5C66"/>
    <w:rsid w:val="008E77FC"/>
    <w:rsid w:val="008F0CD8"/>
    <w:rsid w:val="008F1ED4"/>
    <w:rsid w:val="008F1FC1"/>
    <w:rsid w:val="008F5199"/>
    <w:rsid w:val="00902AD6"/>
    <w:rsid w:val="0090678E"/>
    <w:rsid w:val="00906892"/>
    <w:rsid w:val="00907687"/>
    <w:rsid w:val="0090768A"/>
    <w:rsid w:val="009235F7"/>
    <w:rsid w:val="009252AB"/>
    <w:rsid w:val="00935229"/>
    <w:rsid w:val="00936907"/>
    <w:rsid w:val="009401B5"/>
    <w:rsid w:val="0094169A"/>
    <w:rsid w:val="0094776E"/>
    <w:rsid w:val="00950494"/>
    <w:rsid w:val="00951258"/>
    <w:rsid w:val="00952C5B"/>
    <w:rsid w:val="00955C4F"/>
    <w:rsid w:val="00955EC4"/>
    <w:rsid w:val="0096049F"/>
    <w:rsid w:val="009748B6"/>
    <w:rsid w:val="00975DD8"/>
    <w:rsid w:val="009772A1"/>
    <w:rsid w:val="00985A77"/>
    <w:rsid w:val="00990FC9"/>
    <w:rsid w:val="0099150B"/>
    <w:rsid w:val="009937A3"/>
    <w:rsid w:val="009A0B16"/>
    <w:rsid w:val="009A39E4"/>
    <w:rsid w:val="009B4352"/>
    <w:rsid w:val="009B5213"/>
    <w:rsid w:val="009B5320"/>
    <w:rsid w:val="009C3F61"/>
    <w:rsid w:val="009C449A"/>
    <w:rsid w:val="009C50A2"/>
    <w:rsid w:val="009C61F3"/>
    <w:rsid w:val="009E3C50"/>
    <w:rsid w:val="009F22D0"/>
    <w:rsid w:val="009F23D6"/>
    <w:rsid w:val="009F7BB3"/>
    <w:rsid w:val="00A00956"/>
    <w:rsid w:val="00A012CF"/>
    <w:rsid w:val="00A02A46"/>
    <w:rsid w:val="00A06BF4"/>
    <w:rsid w:val="00A205D7"/>
    <w:rsid w:val="00A337E4"/>
    <w:rsid w:val="00A33C65"/>
    <w:rsid w:val="00A34222"/>
    <w:rsid w:val="00A346F5"/>
    <w:rsid w:val="00A35A9C"/>
    <w:rsid w:val="00A363A0"/>
    <w:rsid w:val="00A37A00"/>
    <w:rsid w:val="00A40D05"/>
    <w:rsid w:val="00A45D82"/>
    <w:rsid w:val="00A47839"/>
    <w:rsid w:val="00A603C3"/>
    <w:rsid w:val="00A60C7E"/>
    <w:rsid w:val="00A651A7"/>
    <w:rsid w:val="00A67D76"/>
    <w:rsid w:val="00A706B8"/>
    <w:rsid w:val="00A734EE"/>
    <w:rsid w:val="00A83F5D"/>
    <w:rsid w:val="00A91D35"/>
    <w:rsid w:val="00A94B1F"/>
    <w:rsid w:val="00AA06A4"/>
    <w:rsid w:val="00AA0858"/>
    <w:rsid w:val="00AA0C27"/>
    <w:rsid w:val="00AB0CA7"/>
    <w:rsid w:val="00AC39FD"/>
    <w:rsid w:val="00AC7FA8"/>
    <w:rsid w:val="00AD0977"/>
    <w:rsid w:val="00AD4B26"/>
    <w:rsid w:val="00AD4E9B"/>
    <w:rsid w:val="00AE0527"/>
    <w:rsid w:val="00AF2CC1"/>
    <w:rsid w:val="00AF320E"/>
    <w:rsid w:val="00AF3BEA"/>
    <w:rsid w:val="00B007C5"/>
    <w:rsid w:val="00B01022"/>
    <w:rsid w:val="00B01CC7"/>
    <w:rsid w:val="00B01D57"/>
    <w:rsid w:val="00B01DD2"/>
    <w:rsid w:val="00B04FCA"/>
    <w:rsid w:val="00B052FA"/>
    <w:rsid w:val="00B07776"/>
    <w:rsid w:val="00B1248D"/>
    <w:rsid w:val="00B46887"/>
    <w:rsid w:val="00B4744C"/>
    <w:rsid w:val="00B57F93"/>
    <w:rsid w:val="00B61D26"/>
    <w:rsid w:val="00B66F9E"/>
    <w:rsid w:val="00B71055"/>
    <w:rsid w:val="00B7238E"/>
    <w:rsid w:val="00B73AC1"/>
    <w:rsid w:val="00B741F6"/>
    <w:rsid w:val="00B818F3"/>
    <w:rsid w:val="00B827D8"/>
    <w:rsid w:val="00B86A29"/>
    <w:rsid w:val="00B92550"/>
    <w:rsid w:val="00B9655F"/>
    <w:rsid w:val="00BA1653"/>
    <w:rsid w:val="00BA401A"/>
    <w:rsid w:val="00BA727A"/>
    <w:rsid w:val="00BB0301"/>
    <w:rsid w:val="00BC3B18"/>
    <w:rsid w:val="00BC5531"/>
    <w:rsid w:val="00BC7F42"/>
    <w:rsid w:val="00BD73FC"/>
    <w:rsid w:val="00BD7D3C"/>
    <w:rsid w:val="00BF026F"/>
    <w:rsid w:val="00BF1F78"/>
    <w:rsid w:val="00BF35ED"/>
    <w:rsid w:val="00BF3E06"/>
    <w:rsid w:val="00C0290B"/>
    <w:rsid w:val="00C06C38"/>
    <w:rsid w:val="00C141B1"/>
    <w:rsid w:val="00C147A7"/>
    <w:rsid w:val="00C16F84"/>
    <w:rsid w:val="00C22097"/>
    <w:rsid w:val="00C2456B"/>
    <w:rsid w:val="00C25FDC"/>
    <w:rsid w:val="00C26246"/>
    <w:rsid w:val="00C27816"/>
    <w:rsid w:val="00C32D7F"/>
    <w:rsid w:val="00C34A91"/>
    <w:rsid w:val="00C377BC"/>
    <w:rsid w:val="00C43FEA"/>
    <w:rsid w:val="00C50BC0"/>
    <w:rsid w:val="00C5104E"/>
    <w:rsid w:val="00C60E61"/>
    <w:rsid w:val="00C61A92"/>
    <w:rsid w:val="00C63997"/>
    <w:rsid w:val="00C67C8A"/>
    <w:rsid w:val="00C67F83"/>
    <w:rsid w:val="00C713A6"/>
    <w:rsid w:val="00C8460A"/>
    <w:rsid w:val="00C84685"/>
    <w:rsid w:val="00C92523"/>
    <w:rsid w:val="00C941E2"/>
    <w:rsid w:val="00CA0B15"/>
    <w:rsid w:val="00CA5F75"/>
    <w:rsid w:val="00CA6CAE"/>
    <w:rsid w:val="00CB6712"/>
    <w:rsid w:val="00CB6FF6"/>
    <w:rsid w:val="00CB7253"/>
    <w:rsid w:val="00CB7557"/>
    <w:rsid w:val="00CC463F"/>
    <w:rsid w:val="00CC6C41"/>
    <w:rsid w:val="00CD0666"/>
    <w:rsid w:val="00CD07B4"/>
    <w:rsid w:val="00CD667A"/>
    <w:rsid w:val="00CE23C1"/>
    <w:rsid w:val="00CE60CB"/>
    <w:rsid w:val="00CE6841"/>
    <w:rsid w:val="00CE7108"/>
    <w:rsid w:val="00D0011E"/>
    <w:rsid w:val="00D03E8A"/>
    <w:rsid w:val="00D27C2A"/>
    <w:rsid w:val="00D41722"/>
    <w:rsid w:val="00D42EFE"/>
    <w:rsid w:val="00D42FA9"/>
    <w:rsid w:val="00D44900"/>
    <w:rsid w:val="00D5531A"/>
    <w:rsid w:val="00D678F8"/>
    <w:rsid w:val="00D7297D"/>
    <w:rsid w:val="00D86699"/>
    <w:rsid w:val="00D90800"/>
    <w:rsid w:val="00D9673E"/>
    <w:rsid w:val="00DA1C2E"/>
    <w:rsid w:val="00DB1C05"/>
    <w:rsid w:val="00DB1DB4"/>
    <w:rsid w:val="00DB2980"/>
    <w:rsid w:val="00DB31DC"/>
    <w:rsid w:val="00DC1C12"/>
    <w:rsid w:val="00DC34D3"/>
    <w:rsid w:val="00DC3F44"/>
    <w:rsid w:val="00DD24AC"/>
    <w:rsid w:val="00DD494D"/>
    <w:rsid w:val="00DE1B50"/>
    <w:rsid w:val="00DE3539"/>
    <w:rsid w:val="00DE6186"/>
    <w:rsid w:val="00DF4DC2"/>
    <w:rsid w:val="00DF5012"/>
    <w:rsid w:val="00E0137B"/>
    <w:rsid w:val="00E065DA"/>
    <w:rsid w:val="00E06E89"/>
    <w:rsid w:val="00E23E39"/>
    <w:rsid w:val="00E26046"/>
    <w:rsid w:val="00E3164F"/>
    <w:rsid w:val="00E33579"/>
    <w:rsid w:val="00E3408D"/>
    <w:rsid w:val="00E437C5"/>
    <w:rsid w:val="00E7404B"/>
    <w:rsid w:val="00E75DB0"/>
    <w:rsid w:val="00E80456"/>
    <w:rsid w:val="00E80B7E"/>
    <w:rsid w:val="00E810ED"/>
    <w:rsid w:val="00E86F05"/>
    <w:rsid w:val="00E90850"/>
    <w:rsid w:val="00E91342"/>
    <w:rsid w:val="00E933FF"/>
    <w:rsid w:val="00E94B5B"/>
    <w:rsid w:val="00E956F3"/>
    <w:rsid w:val="00E963D8"/>
    <w:rsid w:val="00EB0A21"/>
    <w:rsid w:val="00EB0B97"/>
    <w:rsid w:val="00EB7692"/>
    <w:rsid w:val="00EC76F5"/>
    <w:rsid w:val="00EC7E7E"/>
    <w:rsid w:val="00EC7EFD"/>
    <w:rsid w:val="00ED34A7"/>
    <w:rsid w:val="00ED36D8"/>
    <w:rsid w:val="00ED5301"/>
    <w:rsid w:val="00ED7ECA"/>
    <w:rsid w:val="00EE0436"/>
    <w:rsid w:val="00EE223E"/>
    <w:rsid w:val="00EE282D"/>
    <w:rsid w:val="00EE6086"/>
    <w:rsid w:val="00EF1C63"/>
    <w:rsid w:val="00EF2177"/>
    <w:rsid w:val="00EF3762"/>
    <w:rsid w:val="00EF4071"/>
    <w:rsid w:val="00EF7375"/>
    <w:rsid w:val="00EF765F"/>
    <w:rsid w:val="00F028DE"/>
    <w:rsid w:val="00F0585C"/>
    <w:rsid w:val="00F107B7"/>
    <w:rsid w:val="00F11F57"/>
    <w:rsid w:val="00F1403A"/>
    <w:rsid w:val="00F14BA8"/>
    <w:rsid w:val="00F15EF8"/>
    <w:rsid w:val="00F23CB2"/>
    <w:rsid w:val="00F3184F"/>
    <w:rsid w:val="00F36E53"/>
    <w:rsid w:val="00F40EC4"/>
    <w:rsid w:val="00F42772"/>
    <w:rsid w:val="00F4316C"/>
    <w:rsid w:val="00F435D2"/>
    <w:rsid w:val="00F45509"/>
    <w:rsid w:val="00F45CA0"/>
    <w:rsid w:val="00F46176"/>
    <w:rsid w:val="00F5149E"/>
    <w:rsid w:val="00F5270C"/>
    <w:rsid w:val="00F54732"/>
    <w:rsid w:val="00F55878"/>
    <w:rsid w:val="00F56A74"/>
    <w:rsid w:val="00F57AD9"/>
    <w:rsid w:val="00F61D7B"/>
    <w:rsid w:val="00F81AB4"/>
    <w:rsid w:val="00F832E5"/>
    <w:rsid w:val="00F870A3"/>
    <w:rsid w:val="00F91762"/>
    <w:rsid w:val="00F9405B"/>
    <w:rsid w:val="00F968C3"/>
    <w:rsid w:val="00FA0827"/>
    <w:rsid w:val="00FA0FE2"/>
    <w:rsid w:val="00FA34E8"/>
    <w:rsid w:val="00FA4A57"/>
    <w:rsid w:val="00FA7D4E"/>
    <w:rsid w:val="00FC5578"/>
    <w:rsid w:val="00FD549D"/>
    <w:rsid w:val="00FD6374"/>
    <w:rsid w:val="00FE4144"/>
    <w:rsid w:val="00FF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513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link w:val="CommentTextChar"/>
    <w:uiPriority w:val="99"/>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CommentTextChar">
    <w:name w:val="Comment Text Char"/>
    <w:basedOn w:val="DefaultParagraphFont"/>
    <w:link w:val="CommentText"/>
    <w:uiPriority w:val="99"/>
    <w:semiHidden/>
    <w:rsid w:val="00764685"/>
    <w:rPr>
      <w:rFonts w:ascii="Courier" w:eastAsia="Times New Roman"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72025">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587618222">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704983395">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912353401">
      <w:bodyDiv w:val="1"/>
      <w:marLeft w:val="0"/>
      <w:marRight w:val="0"/>
      <w:marTop w:val="0"/>
      <w:marBottom w:val="0"/>
      <w:divBdr>
        <w:top w:val="none" w:sz="0" w:space="0" w:color="auto"/>
        <w:left w:val="none" w:sz="0" w:space="0" w:color="auto"/>
        <w:bottom w:val="none" w:sz="0" w:space="0" w:color="auto"/>
        <w:right w:val="none" w:sz="0" w:space="0" w:color="auto"/>
      </w:divBdr>
    </w:div>
    <w:div w:id="1149708741">
      <w:bodyDiv w:val="1"/>
      <w:marLeft w:val="0"/>
      <w:marRight w:val="0"/>
      <w:marTop w:val="0"/>
      <w:marBottom w:val="0"/>
      <w:divBdr>
        <w:top w:val="none" w:sz="0" w:space="0" w:color="auto"/>
        <w:left w:val="none" w:sz="0" w:space="0" w:color="auto"/>
        <w:bottom w:val="none" w:sz="0" w:space="0" w:color="auto"/>
        <w:right w:val="none" w:sz="0" w:space="0" w:color="auto"/>
      </w:divBdr>
    </w:div>
    <w:div w:id="1158182826">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89518863">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785072706">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203615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3000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sa.gov/legislation/2021FactSheet.pdf" TargetMode="External"/><Relationship Id="rId4" Type="http://schemas.openxmlformats.org/officeDocument/2006/relationships/settings" Target="settings.xml"/><Relationship Id="rId9" Type="http://schemas.openxmlformats.org/officeDocument/2006/relationships/hyperlink" Target="https://www.bls.gov/oes/current/oes13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CCA58-6AE1-49CC-BCCE-5DB954F70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2677</Words>
  <Characters>15262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2021-04-07T13:26:00Z</dcterms:created>
  <dcterms:modified xsi:type="dcterms:W3CDTF">2021-04-07T13:26:00Z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2146152058</vt:i4>
  </property>
  <property fmtid="{D5CDD505-2E9C-101B-9397-08002B2CF9AE}" pid="5" name="_PreviousAdHocReviewCycleID">
    <vt:i4>-1648213060</vt:i4>
  </property>
</Properties>
</file>