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3BDA" w14:textId="77777777" w:rsidR="0021382B" w:rsidRPr="004C4BB8" w:rsidRDefault="0021382B" w:rsidP="0021382B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bookmarkStart w:id="0" w:name="_Hlk157504684"/>
      <w:r w:rsidRPr="004C4BB8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Columna del Seguro Social</w:t>
      </w:r>
    </w:p>
    <w:p w14:paraId="170202C7" w14:textId="66581368" w:rsidR="00BD2B11" w:rsidRPr="004C4BB8" w:rsidRDefault="0021382B" w:rsidP="00BD2B11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  <w:lang w:val="es-ES_tradnl"/>
        </w:rPr>
      </w:pPr>
      <w:r w:rsidRPr="004C4BB8">
        <w:rPr>
          <w:rFonts w:ascii="Times New Roman" w:eastAsia="MS Gothic" w:hAnsi="Times New Roman" w:cs="Times New Roman"/>
          <w:sz w:val="24"/>
          <w:szCs w:val="24"/>
          <w:lang w:val="es-ES_tradnl"/>
        </w:rPr>
        <w:t>EL S</w:t>
      </w:r>
      <w:r w:rsidR="00BD2B11" w:rsidRPr="004C4BB8">
        <w:rPr>
          <w:rFonts w:ascii="Times New Roman" w:eastAsia="MS Gothic" w:hAnsi="Times New Roman" w:cs="Times New Roman"/>
          <w:sz w:val="24"/>
          <w:szCs w:val="24"/>
          <w:lang w:val="es-ES_tradnl"/>
        </w:rPr>
        <w:t>EGUR</w:t>
      </w:r>
      <w:r w:rsidRPr="004C4BB8">
        <w:rPr>
          <w:rFonts w:ascii="Times New Roman" w:eastAsia="MS Gothic" w:hAnsi="Times New Roman" w:cs="Times New Roman"/>
          <w:sz w:val="24"/>
          <w:szCs w:val="24"/>
          <w:lang w:val="es-ES_tradnl"/>
        </w:rPr>
        <w:t>O</w:t>
      </w:r>
      <w:r w:rsidR="00BD2B11" w:rsidRPr="004C4BB8">
        <w:rPr>
          <w:rFonts w:ascii="Times New Roman" w:eastAsia="MS Gothic" w:hAnsi="Times New Roman" w:cs="Times New Roman"/>
          <w:sz w:val="24"/>
          <w:szCs w:val="24"/>
          <w:lang w:val="es-ES_tradnl"/>
        </w:rPr>
        <w:t xml:space="preserve"> SOCIAL EN LENGUAJE SENCILLO</w:t>
      </w:r>
    </w:p>
    <w:p w14:paraId="43315C8B" w14:textId="77777777" w:rsidR="00BD2B11" w:rsidRPr="004C4BB8" w:rsidRDefault="00BD2B11" w:rsidP="00BD2B11">
      <w:pPr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F576C84" w14:textId="77777777" w:rsidR="00323311" w:rsidRDefault="00323311" w:rsidP="00323311">
      <w:pPr>
        <w:pStyle w:val="byline"/>
        <w:rPr>
          <w:lang w:val="es-ES_tradnl"/>
        </w:rPr>
      </w:pPr>
      <w:r>
        <w:rPr>
          <w:lang w:val="es-ES_tradnl"/>
        </w:rPr>
        <w:t>Por &lt;</w:t>
      </w:r>
      <w:proofErr w:type="spellStart"/>
      <w:r>
        <w:rPr>
          <w:lang w:val="es-ES_tradnl"/>
        </w:rPr>
        <w:t>Name</w:t>
      </w:r>
      <w:proofErr w:type="spellEnd"/>
      <w:r>
        <w:rPr>
          <w:lang w:val="es-ES_tradnl"/>
        </w:rPr>
        <w:t>&gt;</w:t>
      </w:r>
    </w:p>
    <w:p w14:paraId="07EAFB65" w14:textId="77777777" w:rsidR="00323311" w:rsidRPr="004C4BB8" w:rsidRDefault="00323311" w:rsidP="00323311">
      <w:pPr>
        <w:pStyle w:val="byline"/>
        <w:spacing w:after="100" w:afterAutospacing="1"/>
        <w:rPr>
          <w:lang w:val="es-ES_tradnl"/>
        </w:rPr>
      </w:pPr>
      <w:r>
        <w:rPr>
          <w:lang w:val="es-ES_tradnl"/>
        </w:rPr>
        <w:t>&lt;</w:t>
      </w:r>
      <w:proofErr w:type="spellStart"/>
      <w:r>
        <w:rPr>
          <w:lang w:val="es-ES_tradnl"/>
        </w:rPr>
        <w:t>Title</w:t>
      </w:r>
      <w:proofErr w:type="spellEnd"/>
      <w:r>
        <w:rPr>
          <w:lang w:val="es-ES_tradnl"/>
        </w:rPr>
        <w:t>&gt; del Seguro Social en &lt;Place&gt;</w:t>
      </w:r>
    </w:p>
    <w:p w14:paraId="7BEB8DCB" w14:textId="6AD18414" w:rsidR="00BD2B11" w:rsidRPr="004C4BB8" w:rsidRDefault="00BD2B11" w:rsidP="00294601">
      <w:pPr>
        <w:spacing w:after="0" w:line="36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lang w:val="es-ES_tradnl"/>
        </w:rPr>
        <w:drawing>
          <wp:inline distT="0" distB="0" distL="0" distR="0" wp14:anchorId="5F129ECB" wp14:editId="6862C163">
            <wp:extent cx="3489350" cy="2318476"/>
            <wp:effectExtent l="0" t="0" r="0" b="5715"/>
            <wp:docPr id="4" name="Picture 4" descr="Scrabble letter tiles spelling out the word Clar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MIP\August2020\AugustMIPimages\Social Security Terms in Plain Langu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372" cy="232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960A" w14:textId="05B33E3C" w:rsidR="00BD2B11" w:rsidRPr="004C4BB8" w:rsidRDefault="00BD2B11" w:rsidP="00BD2B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Los términos y siglas que 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las personas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usa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n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cuando habla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n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del Seguro Social pueden resultar un poco confusos. Saber dónde encontrar definiciones fáciles de entender puede resultar muy útil. </w:t>
      </w:r>
      <w:r w:rsidR="00BA4973" w:rsidRPr="00BA4973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Nosotros podemos brindarle recursos</w:t>
      </w:r>
      <w:r w:rsidR="00BA4973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para brindarle recursos que le ayudarán a comprender gran parte de lo que necesita saber sobre el Seguro Social y nuestra terminología.</w:t>
      </w:r>
    </w:p>
    <w:p w14:paraId="4FA7C9AF" w14:textId="1CCE28F5" w:rsidR="00BD2B11" w:rsidRPr="004C4BB8" w:rsidRDefault="00BD2B11" w:rsidP="00BD2B11">
      <w:pPr>
        <w:autoSpaceDE w:val="0"/>
        <w:autoSpaceDN w:val="0"/>
        <w:adjustRightInd w:val="0"/>
        <w:spacing w:after="360" w:line="360" w:lineRule="auto"/>
        <w:rPr>
          <w:rFonts w:ascii="Roboto" w:eastAsia="SimSun" w:hAnsi="Roboto" w:cs="Times New Roman"/>
          <w:spacing w:val="2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Si hay un término técnico o </w:t>
      </w:r>
      <w:r w:rsidR="00BA4973" w:rsidRPr="00BA4973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unas siglas que no conoce</w:t>
      </w:r>
      <w:r w:rsidR="00BA4973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que no conoce o no comprende, puede encontrar fácilmente el significado en nuestro glosario 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por internet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en </w:t>
      </w:r>
      <w:hyperlink r:id="rId8" w:history="1">
        <w:r w:rsidR="0021382B" w:rsidRPr="004C4BB8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www.ssa.gov/espanol/agencia/glosario</w:t>
        </w:r>
      </w:hyperlink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. Nos esforzamos por explicar nuestros programas y beneficios utilizando un lenguaje sencillo. </w:t>
      </w:r>
      <w:r w:rsidRPr="004C4BB8">
        <w:rPr>
          <w:rFonts w:ascii="Times New Roman" w:eastAsia="SimSun" w:hAnsi="Times New Roman" w:cs="Times New Roman"/>
          <w:color w:val="212121"/>
          <w:spacing w:val="2"/>
          <w:sz w:val="24"/>
          <w:szCs w:val="24"/>
          <w:lang w:val="es-ES_tradnl" w:eastAsia="zh-CN"/>
        </w:rPr>
        <w:t xml:space="preserve">De hecho, la </w:t>
      </w:r>
      <w:r w:rsidR="0021382B" w:rsidRPr="004C4BB8">
        <w:rPr>
          <w:rFonts w:ascii="Times New Roman" w:eastAsia="SimSun" w:hAnsi="Times New Roman" w:cs="Times New Roman"/>
          <w:i/>
          <w:iCs/>
          <w:spacing w:val="2"/>
          <w:sz w:val="24"/>
          <w:szCs w:val="24"/>
          <w:lang w:val="es-ES_tradnl" w:eastAsia="zh-CN"/>
        </w:rPr>
        <w:t>Ley de Escritura Sencilla de 2010</w:t>
      </w:r>
      <w:r w:rsidRPr="004C4BB8">
        <w:rPr>
          <w:rFonts w:ascii="Times New Roman" w:eastAsia="SimSun" w:hAnsi="Times New Roman" w:cs="Times New Roman"/>
          <w:spacing w:val="2"/>
          <w:sz w:val="24"/>
          <w:szCs w:val="24"/>
          <w:lang w:val="es-ES_tradnl" w:eastAsia="zh-CN"/>
        </w:rPr>
        <w:t xml:space="preserve"> exige que las agencias federales como la Administración del Seguro Social se comuniquen de una manera que el público pueda entender.</w:t>
      </w:r>
      <w:r w:rsidRPr="004C4BB8">
        <w:rPr>
          <w:rFonts w:ascii="Roboto" w:eastAsia="SimSun" w:hAnsi="Roboto" w:cs="Times New Roman" w:hint="eastAsia"/>
          <w:spacing w:val="2"/>
          <w:sz w:val="24"/>
          <w:szCs w:val="24"/>
          <w:lang w:val="es-ES_tradnl" w:eastAsia="zh-CN"/>
        </w:rPr>
        <w:t xml:space="preserve">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Esto puede </w:t>
      </w:r>
      <w:r w:rsidR="002274C8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ser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un desafío cuando se habla de programas complicados como el Seguro Social, Seguridad de Ingreso Suplementario (SSI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, siglas en inglés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) y Medicare. Por eso</w:t>
      </w:r>
      <w:r w:rsidR="002274C8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,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el glosario es útil.</w:t>
      </w:r>
    </w:p>
    <w:p w14:paraId="72F1266C" w14:textId="674CAE50" w:rsidR="00BD2B11" w:rsidRPr="004C4BB8" w:rsidRDefault="00BD2B11" w:rsidP="00BD2B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Si está a punto de jubilarse, es posible que desee saber el significado de PIA (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cantidad de seguro primario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), FRA (plena edad de jubilación) y DRC (créditos de jubilación </w:t>
      </w:r>
      <w:r w:rsidR="0021382B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aplaz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ada). Todos estos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lastRenderedPageBreak/>
        <w:t xml:space="preserve">términos se relacionan con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la cantidad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de su beneficio, </w:t>
      </w:r>
      <w:r w:rsidR="00EC5F25" w:rsidRPr="00EC5F25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basado en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cuándo decida solicitar su Seguro Social. Si comienza a recibir su beneficio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por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jubilación en </w:t>
      </w:r>
      <w:r w:rsidR="00CE3AA7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su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FRA, recibirá </w:t>
      </w:r>
      <w:r w:rsidR="00CE3AA7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la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PIA </w:t>
      </w:r>
      <w:r w:rsidR="00CE3AA7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completa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(cantidad pagadera</w:t>
      </w:r>
      <w:r w:rsidR="00EC5F25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a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un trabajador jubilado que comienza a recibir beneficios a la plena edad de jubilación). Entonces, FRA es una edad y PIA es una cantidad.</w:t>
      </w:r>
    </w:p>
    <w:p w14:paraId="285BF3FF" w14:textId="03C81081" w:rsidR="00BD2B11" w:rsidRPr="004C4BB8" w:rsidRDefault="00BD2B11" w:rsidP="00BD2B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¿Qué </w:t>
      </w:r>
      <w:r w:rsidR="008D1954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son los DRC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? Los créditos de jubilación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aplazad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a son los aumentos incrementales que se agregan a su PIA si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aplaz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a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el recibir los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beneficios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por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jubilación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después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de su FRA. Si espera para comenzar a recibir beneficios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después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de la FRA (digamos, a los 68 años), su beneficio aumenta por cada mes que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aplace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</w:t>
      </w:r>
      <w:r w:rsidR="004C4BB8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el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recibirlos 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hasta cumplir los 70 años.</w:t>
      </w:r>
    </w:p>
    <w:p w14:paraId="6AAC53BA" w14:textId="5D1042A7" w:rsidR="00BD2B11" w:rsidRPr="004C4BB8" w:rsidRDefault="00BD2B11" w:rsidP="00BD2B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Una vez que recibe los beneficios, normalmente recibe un COLA (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juste por costo de vida) anual que aumenta su beneficio mensual la mayoría de los años.</w:t>
      </w:r>
    </w:p>
    <w:p w14:paraId="6FFF9F21" w14:textId="520E9365" w:rsidR="00BD2B11" w:rsidRPr="00DD2A5F" w:rsidRDefault="00BD2B11" w:rsidP="00DD2A5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Aprender nuestra terminología puede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aclarar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su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entendimiento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de cómo funciona el Seguro Social para usted y su familia. Por favor</w:t>
      </w:r>
      <w:r w:rsidR="004C4BB8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,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compart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a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 xml:space="preserve"> esta información con </w:t>
      </w:r>
      <w:r w:rsidR="003B05FD"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s</w:t>
      </w:r>
      <w:r w:rsidRPr="004C4BB8"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  <w:t>us seres queridos.</w:t>
      </w:r>
    </w:p>
    <w:p w14:paraId="50A8F12C" w14:textId="447AD429" w:rsidR="00DB29E0" w:rsidRPr="00DD2A5F" w:rsidRDefault="00BD2B11" w:rsidP="00DD2A5F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C4BB8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# # #</w:t>
      </w:r>
      <w:bookmarkEnd w:id="0"/>
    </w:p>
    <w:sectPr w:rsidR="00DB29E0" w:rsidRPr="00DD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11"/>
    <w:rsid w:val="00003642"/>
    <w:rsid w:val="00016701"/>
    <w:rsid w:val="00046090"/>
    <w:rsid w:val="000D6EB8"/>
    <w:rsid w:val="00111715"/>
    <w:rsid w:val="001A30C8"/>
    <w:rsid w:val="001D7FBA"/>
    <w:rsid w:val="0021382B"/>
    <w:rsid w:val="002274C8"/>
    <w:rsid w:val="00294601"/>
    <w:rsid w:val="00323311"/>
    <w:rsid w:val="003B05FD"/>
    <w:rsid w:val="004C4BB8"/>
    <w:rsid w:val="006D4A5D"/>
    <w:rsid w:val="007164C5"/>
    <w:rsid w:val="008D1954"/>
    <w:rsid w:val="00913686"/>
    <w:rsid w:val="00957A56"/>
    <w:rsid w:val="009C0285"/>
    <w:rsid w:val="00AB0C46"/>
    <w:rsid w:val="00BA4973"/>
    <w:rsid w:val="00BD2B11"/>
    <w:rsid w:val="00CE3AA7"/>
    <w:rsid w:val="00DB29E0"/>
    <w:rsid w:val="00DD2A5F"/>
    <w:rsid w:val="00E1351C"/>
    <w:rsid w:val="00E34400"/>
    <w:rsid w:val="00EC5F25"/>
    <w:rsid w:val="00F6699E"/>
    <w:rsid w:val="00F72D2A"/>
    <w:rsid w:val="7AD9F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CE2E"/>
  <w15:chartTrackingRefBased/>
  <w15:docId w15:val="{F1724898-9597-43DA-B51D-6857B943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00364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D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A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espanol/agencia/glosario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07AB7-D4DA-455C-9992-17876402A4FD}">
  <ds:schemaRefs>
    <ds:schemaRef ds:uri="6863c268-474e-4220-898d-ee0d5aa90c7f"/>
    <ds:schemaRef ds:uri="http://purl.org/dc/terms/"/>
    <ds:schemaRef ds:uri="http://purl.org/dc/dcmitype/"/>
    <ds:schemaRef ds:uri="http://schemas.openxmlformats.org/package/2006/metadata/core-properties"/>
    <ds:schemaRef ds:uri="52f4bf7d-6ab4-4c6d-93f0-fe5d3c754b2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24EEE-17F0-4C16-9619-2D4242162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FE98E-BD7F-425F-9D6A-482B2855A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2024-08-08T18:23:00Z</dcterms:created>
  <dcterms:modified xsi:type="dcterms:W3CDTF">2024-08-08T18:23:00Z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