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D2EF" w14:textId="77777777" w:rsidR="00BB0D9A" w:rsidRDefault="00BB0D9A" w:rsidP="00A44FAC">
      <w:pPr>
        <w:pStyle w:val="Column"/>
        <w:spacing w:after="240"/>
      </w:pPr>
      <w:r w:rsidRPr="001B62E5">
        <w:t>Social Security Column</w:t>
      </w:r>
    </w:p>
    <w:p w14:paraId="7C09FABB" w14:textId="4BF88357" w:rsidR="00BB0D9A" w:rsidRPr="00595CD5" w:rsidRDefault="008237C3" w:rsidP="00A44FAC">
      <w:pPr>
        <w:spacing w:after="240" w:line="360" w:lineRule="auto"/>
        <w:rPr>
          <w:rStyle w:val="Heading1Char"/>
        </w:rPr>
      </w:pPr>
      <w:r>
        <w:rPr>
          <w:rStyle w:val="Heading1Char"/>
        </w:rPr>
        <w:t>FOSTER CARE:</w:t>
      </w:r>
      <w:r w:rsidR="007407A7">
        <w:rPr>
          <w:rStyle w:val="Heading1Char"/>
        </w:rPr>
        <w:t xml:space="preserve"> </w:t>
      </w:r>
      <w:r>
        <w:rPr>
          <w:rStyle w:val="Heading1Char"/>
        </w:rPr>
        <w:t>SUPPORTING YOUTH AS THEY TRANSITION INTO ADULTHOOD</w:t>
      </w:r>
    </w:p>
    <w:p w14:paraId="23D83B89" w14:textId="42FCB861" w:rsidR="00A44FAC" w:rsidRPr="00A44FAC" w:rsidRDefault="00A44FAC" w:rsidP="00A44FAC">
      <w:pPr>
        <w:pStyle w:val="Body"/>
        <w:spacing w:after="240"/>
      </w:pPr>
      <w:r w:rsidRPr="00A44FAC">
        <w:t>For young people transitioning out of foster care, the move into adulthood can come with both opportunities and challenges. Access to reliable information, financial resources, and trusted support systems can make an important difference during this transition.</w:t>
      </w:r>
    </w:p>
    <w:p w14:paraId="3970C871" w14:textId="77777777" w:rsidR="00A44FAC" w:rsidRPr="00A44FAC" w:rsidRDefault="00A44FAC" w:rsidP="00A44FAC">
      <w:pPr>
        <w:pStyle w:val="Body"/>
        <w:spacing w:after="240"/>
      </w:pPr>
      <w:r w:rsidRPr="00A44FAC">
        <w:t>At Social Security, we’re committed to helping young people understand the benefits and services available to them.</w:t>
      </w:r>
    </w:p>
    <w:p w14:paraId="36C67071" w14:textId="77777777" w:rsidR="00A44FAC" w:rsidRPr="00A44FAC" w:rsidRDefault="00A44FAC" w:rsidP="00A44FAC">
      <w:pPr>
        <w:pStyle w:val="Body"/>
        <w:spacing w:after="240"/>
        <w:rPr>
          <w:b/>
          <w:bCs/>
        </w:rPr>
      </w:pPr>
      <w:r w:rsidRPr="00A44FAC">
        <w:rPr>
          <w:b/>
          <w:bCs/>
        </w:rPr>
        <w:t>Helping Youth Build a Strong Foundation</w:t>
      </w:r>
    </w:p>
    <w:p w14:paraId="75D46D46" w14:textId="77777777" w:rsidR="00A44FAC" w:rsidRPr="00A44FAC" w:rsidRDefault="00A44FAC" w:rsidP="00A44FAC">
      <w:pPr>
        <w:pStyle w:val="Body"/>
        <w:spacing w:after="240"/>
      </w:pPr>
      <w:r w:rsidRPr="00A44FAC">
        <w:t>Youth in foster care may qualify for Social Security benefits based on their own circumstances or a parent’s work record. Understanding these benefits, and knowing how to access them, can help young adults plan for their future.</w:t>
      </w:r>
    </w:p>
    <w:p w14:paraId="7171088B" w14:textId="77777777" w:rsidR="00A44FAC" w:rsidRPr="00A44FAC" w:rsidRDefault="00A44FAC" w:rsidP="00A44FAC">
      <w:pPr>
        <w:pStyle w:val="Body"/>
        <w:spacing w:after="240"/>
      </w:pPr>
      <w:r w:rsidRPr="00A44FAC">
        <w:t>Some youth may qualify for:</w:t>
      </w:r>
    </w:p>
    <w:p w14:paraId="1861AEEA" w14:textId="77777777" w:rsidR="00A44FAC" w:rsidRPr="00A44FAC" w:rsidRDefault="00A44FAC" w:rsidP="00A44FAC">
      <w:pPr>
        <w:pStyle w:val="Body"/>
        <w:numPr>
          <w:ilvl w:val="0"/>
          <w:numId w:val="10"/>
        </w:numPr>
        <w:spacing w:after="240"/>
      </w:pPr>
      <w:r w:rsidRPr="00A44FAC">
        <w:t>Supplemental Security Income (SSI) if they have a qualifying disability and limited income or resources.</w:t>
      </w:r>
    </w:p>
    <w:p w14:paraId="76800891" w14:textId="00483EC0" w:rsidR="00A44FAC" w:rsidRPr="00A44FAC" w:rsidRDefault="00A44FAC" w:rsidP="00A44FAC">
      <w:pPr>
        <w:pStyle w:val="Body"/>
        <w:numPr>
          <w:ilvl w:val="0"/>
          <w:numId w:val="10"/>
        </w:numPr>
        <w:spacing w:after="240"/>
      </w:pPr>
      <w:proofErr w:type="gramStart"/>
      <w:r w:rsidRPr="00A44FAC">
        <w:t>Survivor</w:t>
      </w:r>
      <w:proofErr w:type="gramEnd"/>
      <w:r w:rsidRPr="00A44FAC">
        <w:t xml:space="preserve"> </w:t>
      </w:r>
      <w:proofErr w:type="gramStart"/>
      <w:r w:rsidRPr="00A44FAC">
        <w:t>benefits</w:t>
      </w:r>
      <w:proofErr w:type="gramEnd"/>
      <w:r w:rsidRPr="00A44FAC">
        <w:t xml:space="preserve"> if a parent dies. Under certain circumstances, we can also pay benefits to married children, stepchildren, adopted children, grandchildren, and step grandchildren</w:t>
      </w:r>
      <w:r w:rsidR="00EA375C">
        <w:t>.</w:t>
      </w:r>
    </w:p>
    <w:p w14:paraId="28D5A068" w14:textId="77777777" w:rsidR="00A44FAC" w:rsidRPr="00A44FAC" w:rsidRDefault="00A44FAC" w:rsidP="00A44FAC">
      <w:pPr>
        <w:pStyle w:val="Body"/>
        <w:numPr>
          <w:ilvl w:val="0"/>
          <w:numId w:val="10"/>
        </w:numPr>
        <w:spacing w:after="240"/>
      </w:pPr>
      <w:r w:rsidRPr="00A44FAC">
        <w:t>Child benefits through a parent who receives Social Security retirement or disability benefits.</w:t>
      </w:r>
    </w:p>
    <w:p w14:paraId="267787D4" w14:textId="77777777" w:rsidR="00A44FAC" w:rsidRPr="00A44FAC" w:rsidRDefault="00A44FAC" w:rsidP="00A44FAC">
      <w:pPr>
        <w:pStyle w:val="Body"/>
        <w:spacing w:after="240"/>
      </w:pPr>
      <w:r w:rsidRPr="00A44FAC">
        <w:t>As young people prepare for adulthood, having access to financial information and important records can help them make informed decisions about education, employment, housing, and healthcare.</w:t>
      </w:r>
    </w:p>
    <w:p w14:paraId="52A2A5E2" w14:textId="2A75A559" w:rsidR="00A44FAC" w:rsidRPr="00A44FAC" w:rsidRDefault="00A44FAC" w:rsidP="00A44FAC">
      <w:pPr>
        <w:pStyle w:val="Body"/>
        <w:spacing w:after="240"/>
        <w:rPr>
          <w:b/>
          <w:bCs/>
        </w:rPr>
      </w:pPr>
      <w:r w:rsidRPr="00A44FAC">
        <w:rPr>
          <w:b/>
          <w:bCs/>
        </w:rPr>
        <w:t>Our Youth Toolkit is her</w:t>
      </w:r>
      <w:r w:rsidR="00EF42D2">
        <w:rPr>
          <w:b/>
          <w:bCs/>
        </w:rPr>
        <w:t>e</w:t>
      </w:r>
      <w:r w:rsidRPr="00A44FAC">
        <w:rPr>
          <w:b/>
          <w:bCs/>
        </w:rPr>
        <w:t xml:space="preserve"> to help</w:t>
      </w:r>
    </w:p>
    <w:p w14:paraId="44C2AF16" w14:textId="4E08BB4F" w:rsidR="00A44FAC" w:rsidRPr="00A44FAC" w:rsidRDefault="00A44FAC" w:rsidP="00A44FAC">
      <w:pPr>
        <w:pStyle w:val="Body"/>
        <w:spacing w:after="240"/>
      </w:pPr>
      <w:r w:rsidRPr="00A44FAC">
        <w:lastRenderedPageBreak/>
        <w:t>We created a Youth Toolkit, six publications, to help young people, families, caregivers, educators, and advocates learn about programs and services that support the transition to adulthood.</w:t>
      </w:r>
      <w:r w:rsidR="0015728A">
        <w:t xml:space="preserve"> You can access the toolkit at </w:t>
      </w:r>
      <w:hyperlink r:id="rId9" w:history="1">
        <w:r w:rsidR="0015728A" w:rsidRPr="0015728A">
          <w:rPr>
            <w:rStyle w:val="Hyperlink"/>
          </w:rPr>
          <w:t>www.ssa.gov/youth</w:t>
        </w:r>
      </w:hyperlink>
      <w:r w:rsidR="0015728A">
        <w:t xml:space="preserve">. </w:t>
      </w:r>
    </w:p>
    <w:p w14:paraId="7BC3AC9D" w14:textId="77777777" w:rsidR="00A44FAC" w:rsidRPr="00A44FAC" w:rsidRDefault="00A44FAC" w:rsidP="00A44FAC">
      <w:pPr>
        <w:pStyle w:val="Body"/>
        <w:spacing w:after="240"/>
      </w:pPr>
      <w:r w:rsidRPr="00A44FAC">
        <w:t>The toolkit includes information about:</w:t>
      </w:r>
    </w:p>
    <w:p w14:paraId="1CC20A22" w14:textId="6E9BEE24" w:rsidR="00A44FAC" w:rsidRPr="00A44FAC" w:rsidRDefault="00A44FAC" w:rsidP="00A44FAC">
      <w:pPr>
        <w:pStyle w:val="Body"/>
        <w:numPr>
          <w:ilvl w:val="0"/>
          <w:numId w:val="11"/>
        </w:numPr>
        <w:spacing w:after="240"/>
      </w:pPr>
      <w:r w:rsidRPr="00A44FAC">
        <w:t>Qualifying for Social Security benefits after age 18</w:t>
      </w:r>
      <w:r w:rsidR="00EA375C">
        <w:t>.</w:t>
      </w:r>
    </w:p>
    <w:p w14:paraId="5B0B8102" w14:textId="6F0BC33A" w:rsidR="00A44FAC" w:rsidRPr="00A44FAC" w:rsidRDefault="00A44FAC" w:rsidP="00A44FAC">
      <w:pPr>
        <w:pStyle w:val="Body"/>
        <w:numPr>
          <w:ilvl w:val="0"/>
          <w:numId w:val="11"/>
        </w:numPr>
        <w:spacing w:after="240"/>
      </w:pPr>
      <w:r w:rsidRPr="00A44FAC">
        <w:t>Employment supports</w:t>
      </w:r>
      <w:r w:rsidR="00EA375C">
        <w:t>.</w:t>
      </w:r>
    </w:p>
    <w:p w14:paraId="63610E94" w14:textId="314D82BB" w:rsidR="00A44FAC" w:rsidRPr="00A44FAC" w:rsidRDefault="00A44FAC" w:rsidP="00A44FAC">
      <w:pPr>
        <w:pStyle w:val="Body"/>
        <w:numPr>
          <w:ilvl w:val="0"/>
          <w:numId w:val="11"/>
        </w:numPr>
        <w:spacing w:after="240"/>
      </w:pPr>
      <w:r w:rsidRPr="00A44FAC">
        <w:t>Financial literacy</w:t>
      </w:r>
      <w:r w:rsidR="00EA375C">
        <w:t>.</w:t>
      </w:r>
    </w:p>
    <w:p w14:paraId="1D793057" w14:textId="059D00C0" w:rsidR="00A44FAC" w:rsidRPr="00A44FAC" w:rsidRDefault="00A44FAC" w:rsidP="00A44FAC">
      <w:pPr>
        <w:pStyle w:val="Body"/>
        <w:numPr>
          <w:ilvl w:val="0"/>
          <w:numId w:val="11"/>
        </w:numPr>
        <w:spacing w:after="240"/>
      </w:pPr>
      <w:r w:rsidRPr="00A44FAC">
        <w:t>Healthcare considerations</w:t>
      </w:r>
      <w:r w:rsidR="00EA375C">
        <w:t>.</w:t>
      </w:r>
    </w:p>
    <w:p w14:paraId="4D4034A6" w14:textId="73327DCB" w:rsidR="00A44FAC" w:rsidRPr="00A44FAC" w:rsidRDefault="00A44FAC" w:rsidP="00A44FAC">
      <w:pPr>
        <w:pStyle w:val="Body"/>
        <w:numPr>
          <w:ilvl w:val="0"/>
          <w:numId w:val="11"/>
        </w:numPr>
        <w:spacing w:after="240"/>
      </w:pPr>
      <w:r w:rsidRPr="00A44FAC">
        <w:t>Education and vocational resources</w:t>
      </w:r>
      <w:r w:rsidR="00EA375C">
        <w:t>.</w:t>
      </w:r>
    </w:p>
    <w:p w14:paraId="3330A33D" w14:textId="7310CFDA" w:rsidR="00A44FAC" w:rsidRPr="00A44FAC" w:rsidRDefault="00A44FAC" w:rsidP="00A44FAC">
      <w:pPr>
        <w:pStyle w:val="Body"/>
        <w:numPr>
          <w:ilvl w:val="0"/>
          <w:numId w:val="11"/>
        </w:numPr>
        <w:spacing w:after="240"/>
      </w:pPr>
      <w:r w:rsidRPr="00A44FAC">
        <w:t>Planning for independence</w:t>
      </w:r>
      <w:r w:rsidR="00EA375C">
        <w:t>.</w:t>
      </w:r>
    </w:p>
    <w:p w14:paraId="6BF33A51" w14:textId="77777777" w:rsidR="00A44FAC" w:rsidRPr="00A44FAC" w:rsidRDefault="00A44FAC" w:rsidP="00A44FAC">
      <w:pPr>
        <w:pStyle w:val="Body"/>
        <w:spacing w:after="240"/>
      </w:pPr>
      <w:r w:rsidRPr="00A44FAC">
        <w:t>It’s designed to help youth understand their options and connect them with tools that support long-term success.</w:t>
      </w:r>
    </w:p>
    <w:p w14:paraId="6D11297D" w14:textId="6FEF2FCF" w:rsidR="00A44FAC" w:rsidRPr="00A44FAC" w:rsidRDefault="00790332" w:rsidP="00A44FAC">
      <w:pPr>
        <w:pStyle w:val="Body"/>
        <w:spacing w:after="240"/>
      </w:pPr>
      <w:r>
        <w:t>We invite you to</w:t>
      </w:r>
      <w:r w:rsidR="00A44FAC" w:rsidRPr="00A44FAC">
        <w:t xml:space="preserve"> explore the Youth Toolkit today.</w:t>
      </w:r>
    </w:p>
    <w:p w14:paraId="46718830" w14:textId="54D05A37" w:rsidR="00A44FAC" w:rsidRPr="00A44FAC" w:rsidRDefault="00A44FAC" w:rsidP="00A44FAC">
      <w:pPr>
        <w:pStyle w:val="Body"/>
        <w:spacing w:after="240"/>
        <w:rPr>
          <w:b/>
          <w:bCs/>
        </w:rPr>
      </w:pPr>
      <w:r w:rsidRPr="00A44FAC">
        <w:rPr>
          <w:b/>
          <w:bCs/>
        </w:rPr>
        <w:t xml:space="preserve">Supporting Foster Youth </w:t>
      </w:r>
    </w:p>
    <w:p w14:paraId="011A98A9" w14:textId="1CCA7908" w:rsidR="00A44FAC" w:rsidRPr="00A44FAC" w:rsidRDefault="004D66EC" w:rsidP="00A44FAC">
      <w:pPr>
        <w:pStyle w:val="Body"/>
        <w:spacing w:after="240"/>
      </w:pPr>
      <w:r>
        <w:t>Support</w:t>
      </w:r>
      <w:r w:rsidR="00A44FAC" w:rsidRPr="00A44FAC">
        <w:t xml:space="preserve"> </w:t>
      </w:r>
      <w:r w:rsidR="008F5B5C">
        <w:t>for our yo</w:t>
      </w:r>
      <w:r w:rsidR="004B430B">
        <w:t xml:space="preserve">uth </w:t>
      </w:r>
      <w:r w:rsidR="00A44FAC" w:rsidRPr="00A44FAC">
        <w:t>matters</w:t>
      </w:r>
      <w:r>
        <w:t xml:space="preserve"> – and </w:t>
      </w:r>
      <w:r w:rsidR="00A44FAC" w:rsidRPr="00A44FAC">
        <w:t>not just during times of transition, but every step along the way.</w:t>
      </w:r>
      <w:r w:rsidR="00BB3DFB">
        <w:t xml:space="preserve"> </w:t>
      </w:r>
      <w:r w:rsidR="00A44FAC" w:rsidRPr="00A44FAC">
        <w:t>Mentors, relatives, foster families, teachers, social workers, and community members all play a role in helping young people feel seen, supported, and empowered.</w:t>
      </w:r>
    </w:p>
    <w:p w14:paraId="126B0856" w14:textId="603ABCEB" w:rsidR="00F571B9" w:rsidRDefault="00A44FAC" w:rsidP="00A44FAC">
      <w:pPr>
        <w:pStyle w:val="Body"/>
        <w:spacing w:after="240"/>
      </w:pPr>
      <w:r w:rsidRPr="00A44FAC">
        <w:t>Helping a young person navigate important information or connect them to available resources can have a lasting impact on their future. To learn more, read our publication, </w:t>
      </w:r>
      <w:r w:rsidRPr="00A44FAC">
        <w:rPr>
          <w:i/>
          <w:iCs/>
        </w:rPr>
        <w:t>What You need to Know About Your Supplemental Security Income When You Turn 18</w:t>
      </w:r>
      <w:r w:rsidR="00F571B9">
        <w:t xml:space="preserve">, at </w:t>
      </w:r>
      <w:hyperlink r:id="rId10" w:history="1">
        <w:r w:rsidR="00F571B9" w:rsidRPr="00F571B9">
          <w:rPr>
            <w:rStyle w:val="Hyperlink"/>
          </w:rPr>
          <w:t>www.ssa.gov/youth/documents/FINAL_EN-05-11005_508-comp.pdf</w:t>
        </w:r>
      </w:hyperlink>
      <w:r w:rsidR="00F571B9">
        <w:t>.</w:t>
      </w:r>
    </w:p>
    <w:p w14:paraId="745F4E74" w14:textId="69558F65" w:rsidR="00A44FAC" w:rsidRPr="00A44FAC" w:rsidRDefault="00A44FAC" w:rsidP="00A44FAC">
      <w:pPr>
        <w:pStyle w:val="Body"/>
        <w:spacing w:after="240"/>
      </w:pPr>
      <w:r w:rsidRPr="00A44FAC">
        <w:t>Help us spread the word by sharing with your family, friends, and on social media.</w:t>
      </w:r>
    </w:p>
    <w:p w14:paraId="605107E6" w14:textId="4A83E477" w:rsidR="00DB29E0" w:rsidRPr="00BB0D9A" w:rsidRDefault="00BB0D9A" w:rsidP="00BB3DFB">
      <w:pPr>
        <w:pStyle w:val="Body"/>
        <w:spacing w:after="240"/>
        <w:jc w:val="center"/>
      </w:pPr>
      <w:r>
        <w:t># # #</w:t>
      </w:r>
    </w:p>
    <w:sectPr w:rsidR="00DB29E0" w:rsidRPr="00BB0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9E2"/>
    <w:multiLevelType w:val="multilevel"/>
    <w:tmpl w:val="F87C7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B0624B2"/>
    <w:multiLevelType w:val="multilevel"/>
    <w:tmpl w:val="CEF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324E2"/>
    <w:multiLevelType w:val="multilevel"/>
    <w:tmpl w:val="33D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105D6"/>
    <w:multiLevelType w:val="hybridMultilevel"/>
    <w:tmpl w:val="2D7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B6D8E"/>
    <w:multiLevelType w:val="multilevel"/>
    <w:tmpl w:val="540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48D4"/>
    <w:multiLevelType w:val="multilevel"/>
    <w:tmpl w:val="6FE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E564C"/>
    <w:multiLevelType w:val="hybridMultilevel"/>
    <w:tmpl w:val="146CC7EA"/>
    <w:lvl w:ilvl="0" w:tplc="0409000F">
      <w:start w:val="1"/>
      <w:numFmt w:val="decimal"/>
      <w:pStyle w:val="ListBullet1"/>
      <w:lvlText w:val="%1."/>
      <w:lvlJc w:val="left"/>
      <w:pPr>
        <w:ind w:left="36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7" w15:restartNumberingAfterBreak="0">
    <w:nsid w:val="54FA3D16"/>
    <w:multiLevelType w:val="multilevel"/>
    <w:tmpl w:val="4F7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31F6E"/>
    <w:multiLevelType w:val="multilevel"/>
    <w:tmpl w:val="CEB6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79D0789"/>
    <w:multiLevelType w:val="multilevel"/>
    <w:tmpl w:val="8DE2A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B1D6566"/>
    <w:multiLevelType w:val="hybridMultilevel"/>
    <w:tmpl w:val="A6F0BF0E"/>
    <w:lvl w:ilvl="0" w:tplc="73DE919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70150681">
    <w:abstractNumId w:val="6"/>
  </w:num>
  <w:num w:numId="2" w16cid:durableId="1072431324">
    <w:abstractNumId w:val="10"/>
  </w:num>
  <w:num w:numId="3" w16cid:durableId="1298608095">
    <w:abstractNumId w:val="7"/>
  </w:num>
  <w:num w:numId="4" w16cid:durableId="2028871647">
    <w:abstractNumId w:val="4"/>
  </w:num>
  <w:num w:numId="5" w16cid:durableId="163983150">
    <w:abstractNumId w:val="1"/>
  </w:num>
  <w:num w:numId="6" w16cid:durableId="1171215233">
    <w:abstractNumId w:val="3"/>
  </w:num>
  <w:num w:numId="7" w16cid:durableId="2113432021">
    <w:abstractNumId w:val="0"/>
  </w:num>
  <w:num w:numId="8" w16cid:durableId="1405299931">
    <w:abstractNumId w:val="8"/>
  </w:num>
  <w:num w:numId="9" w16cid:durableId="83695223">
    <w:abstractNumId w:val="9"/>
  </w:num>
  <w:num w:numId="10" w16cid:durableId="112675539">
    <w:abstractNumId w:val="5"/>
  </w:num>
  <w:num w:numId="11" w16cid:durableId="159196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C"/>
    <w:rsid w:val="00033BA8"/>
    <w:rsid w:val="00043F8D"/>
    <w:rsid w:val="00045E6A"/>
    <w:rsid w:val="00084A3C"/>
    <w:rsid w:val="000A67CE"/>
    <w:rsid w:val="000D08A8"/>
    <w:rsid w:val="000E1470"/>
    <w:rsid w:val="00113DC0"/>
    <w:rsid w:val="00131312"/>
    <w:rsid w:val="001401B4"/>
    <w:rsid w:val="0015728A"/>
    <w:rsid w:val="0016347E"/>
    <w:rsid w:val="001B0EC6"/>
    <w:rsid w:val="001B1A41"/>
    <w:rsid w:val="001C0BE7"/>
    <w:rsid w:val="002011AE"/>
    <w:rsid w:val="002061C9"/>
    <w:rsid w:val="00206911"/>
    <w:rsid w:val="002144B1"/>
    <w:rsid w:val="002432F8"/>
    <w:rsid w:val="00256D9E"/>
    <w:rsid w:val="00337B44"/>
    <w:rsid w:val="00381416"/>
    <w:rsid w:val="003C2C49"/>
    <w:rsid w:val="003D728D"/>
    <w:rsid w:val="004175D1"/>
    <w:rsid w:val="0044636A"/>
    <w:rsid w:val="004B430B"/>
    <w:rsid w:val="004D4290"/>
    <w:rsid w:val="004D66EC"/>
    <w:rsid w:val="005970FA"/>
    <w:rsid w:val="00621062"/>
    <w:rsid w:val="006547BD"/>
    <w:rsid w:val="00687C56"/>
    <w:rsid w:val="006A0DB2"/>
    <w:rsid w:val="006B1E64"/>
    <w:rsid w:val="006D12FF"/>
    <w:rsid w:val="007407A7"/>
    <w:rsid w:val="0074622A"/>
    <w:rsid w:val="00790332"/>
    <w:rsid w:val="007E7C72"/>
    <w:rsid w:val="008237C3"/>
    <w:rsid w:val="00867B61"/>
    <w:rsid w:val="008F5B5C"/>
    <w:rsid w:val="009079D2"/>
    <w:rsid w:val="00936B5C"/>
    <w:rsid w:val="0097601E"/>
    <w:rsid w:val="00976896"/>
    <w:rsid w:val="009B2E7D"/>
    <w:rsid w:val="00A44FAC"/>
    <w:rsid w:val="00A55457"/>
    <w:rsid w:val="00A82D49"/>
    <w:rsid w:val="00A85419"/>
    <w:rsid w:val="00AA3847"/>
    <w:rsid w:val="00AB0C46"/>
    <w:rsid w:val="00B61430"/>
    <w:rsid w:val="00BA4BB5"/>
    <w:rsid w:val="00BB0D9A"/>
    <w:rsid w:val="00BB3DFB"/>
    <w:rsid w:val="00BD34D4"/>
    <w:rsid w:val="00C208BA"/>
    <w:rsid w:val="00C27F14"/>
    <w:rsid w:val="00D002E3"/>
    <w:rsid w:val="00D00856"/>
    <w:rsid w:val="00D67BDD"/>
    <w:rsid w:val="00D90E2C"/>
    <w:rsid w:val="00DB29E0"/>
    <w:rsid w:val="00DC25D1"/>
    <w:rsid w:val="00DF5350"/>
    <w:rsid w:val="00E1351C"/>
    <w:rsid w:val="00E51C35"/>
    <w:rsid w:val="00E907FC"/>
    <w:rsid w:val="00EA375C"/>
    <w:rsid w:val="00EF05CC"/>
    <w:rsid w:val="00EF42D2"/>
    <w:rsid w:val="00F255FF"/>
    <w:rsid w:val="00F571B9"/>
    <w:rsid w:val="00FD6631"/>
    <w:rsid w:val="00FE3411"/>
    <w:rsid w:val="2254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3EAF"/>
  <w15:chartTrackingRefBased/>
  <w15:docId w15:val="{7732978B-B96F-4173-BB93-03AFD51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CC"/>
    <w:pPr>
      <w:spacing w:after="0" w:line="240" w:lineRule="auto"/>
    </w:pPr>
    <w:rPr>
      <w:rFonts w:ascii="Times New Roman" w:hAnsi="Times New Roman" w:cs="Segoe UI"/>
      <w:color w:val="212121"/>
      <w:spacing w:val="2"/>
      <w:sz w:val="24"/>
      <w:szCs w:val="24"/>
    </w:rPr>
  </w:style>
  <w:style w:type="paragraph" w:styleId="Heading1">
    <w:name w:val="heading 1"/>
    <w:basedOn w:val="Normal"/>
    <w:next w:val="Normal"/>
    <w:link w:val="Heading1Char"/>
    <w:qFormat/>
    <w:rsid w:val="00EF05CC"/>
    <w:pPr>
      <w:spacing w:after="360" w:line="360" w:lineRule="auto"/>
      <w:outlineLvl w:val="0"/>
    </w:pPr>
    <w:rPr>
      <w:caps/>
    </w:rPr>
  </w:style>
  <w:style w:type="paragraph" w:styleId="Heading2">
    <w:name w:val="heading 2"/>
    <w:basedOn w:val="Normal"/>
    <w:next w:val="Normal"/>
    <w:link w:val="Heading2Char"/>
    <w:uiPriority w:val="9"/>
    <w:semiHidden/>
    <w:unhideWhenUsed/>
    <w:qFormat/>
    <w:rsid w:val="00AA3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38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5CC"/>
    <w:rPr>
      <w:rFonts w:ascii="Times New Roman" w:hAnsi="Times New Roman" w:cs="Segoe UI"/>
      <w:caps/>
      <w:color w:val="212121"/>
      <w:spacing w:val="2"/>
      <w:sz w:val="24"/>
      <w:szCs w:val="24"/>
    </w:rPr>
  </w:style>
  <w:style w:type="character" w:styleId="Hyperlink">
    <w:name w:val="Hyperlink"/>
    <w:basedOn w:val="DefaultParagraphFont"/>
    <w:uiPriority w:val="99"/>
    <w:rsid w:val="00EF05CC"/>
    <w:rPr>
      <w:color w:val="0000FF"/>
      <w:u w:val="single"/>
    </w:rPr>
  </w:style>
  <w:style w:type="character" w:styleId="Strong">
    <w:name w:val="Strong"/>
    <w:uiPriority w:val="22"/>
    <w:qFormat/>
    <w:rsid w:val="00EF05CC"/>
    <w:rPr>
      <w:b/>
      <w:bCs/>
    </w:rPr>
  </w:style>
  <w:style w:type="paragraph" w:customStyle="1" w:styleId="Body">
    <w:name w:val="Body"/>
    <w:basedOn w:val="Normal"/>
    <w:qFormat/>
    <w:rsid w:val="00EF05CC"/>
    <w:pPr>
      <w:autoSpaceDE w:val="0"/>
      <w:autoSpaceDN w:val="0"/>
      <w:adjustRightInd w:val="0"/>
      <w:spacing w:after="360" w:line="360" w:lineRule="auto"/>
    </w:pPr>
    <w:rPr>
      <w:lang w:val="en"/>
    </w:rPr>
  </w:style>
  <w:style w:type="paragraph" w:customStyle="1" w:styleId="byline">
    <w:name w:val="byline"/>
    <w:basedOn w:val="Normal"/>
    <w:qFormat/>
    <w:rsid w:val="00EF05CC"/>
    <w:pPr>
      <w:spacing w:line="360" w:lineRule="auto"/>
    </w:pPr>
    <w:rPr>
      <w:b/>
    </w:rPr>
  </w:style>
  <w:style w:type="paragraph" w:customStyle="1" w:styleId="ListBullet1">
    <w:name w:val="List Bullet 1"/>
    <w:basedOn w:val="Normal"/>
    <w:qFormat/>
    <w:rsid w:val="00EF05CC"/>
    <w:pPr>
      <w:numPr>
        <w:numId w:val="1"/>
      </w:numPr>
      <w:spacing w:before="100" w:beforeAutospacing="1" w:after="100" w:afterAutospacing="1" w:line="360" w:lineRule="auto"/>
    </w:pPr>
    <w:rPr>
      <w:rFonts w:eastAsia="Times New Roman"/>
      <w:lang w:val="en"/>
    </w:rPr>
  </w:style>
  <w:style w:type="paragraph" w:customStyle="1" w:styleId="Column">
    <w:name w:val="Column"/>
    <w:basedOn w:val="Normal"/>
    <w:qFormat/>
    <w:rsid w:val="00EF05CC"/>
    <w:pPr>
      <w:pageBreakBefore/>
      <w:autoSpaceDE w:val="0"/>
      <w:autoSpaceDN w:val="0"/>
      <w:adjustRightInd w:val="0"/>
      <w:spacing w:after="360" w:line="360" w:lineRule="auto"/>
    </w:pPr>
    <w:rPr>
      <w:b/>
      <w:lang w:val="en"/>
    </w:rPr>
  </w:style>
  <w:style w:type="character" w:styleId="Emphasis">
    <w:name w:val="Emphasis"/>
    <w:basedOn w:val="DefaultParagraphFont"/>
    <w:uiPriority w:val="20"/>
    <w:qFormat/>
    <w:rsid w:val="00BB0D9A"/>
    <w:rPr>
      <w:i/>
      <w:iCs/>
    </w:rPr>
  </w:style>
  <w:style w:type="character" w:styleId="FollowedHyperlink">
    <w:name w:val="FollowedHyperlink"/>
    <w:basedOn w:val="DefaultParagraphFont"/>
    <w:uiPriority w:val="99"/>
    <w:semiHidden/>
    <w:unhideWhenUsed/>
    <w:rsid w:val="00206911"/>
    <w:rPr>
      <w:color w:val="954F72" w:themeColor="followedHyperlink"/>
      <w:u w:val="single"/>
    </w:rPr>
  </w:style>
  <w:style w:type="character" w:customStyle="1" w:styleId="Heading2Char">
    <w:name w:val="Heading 2 Char"/>
    <w:basedOn w:val="DefaultParagraphFont"/>
    <w:link w:val="Heading2"/>
    <w:uiPriority w:val="9"/>
    <w:semiHidden/>
    <w:rsid w:val="00AA3847"/>
    <w:rPr>
      <w:rFonts w:asciiTheme="majorHAnsi" w:eastAsiaTheme="majorEastAsia" w:hAnsiTheme="majorHAnsi" w:cstheme="majorBidi"/>
      <w:color w:val="2F5496" w:themeColor="accent1" w:themeShade="BF"/>
      <w:spacing w:val="2"/>
      <w:sz w:val="26"/>
      <w:szCs w:val="26"/>
    </w:rPr>
  </w:style>
  <w:style w:type="character" w:customStyle="1" w:styleId="Heading3Char">
    <w:name w:val="Heading 3 Char"/>
    <w:basedOn w:val="DefaultParagraphFont"/>
    <w:link w:val="Heading3"/>
    <w:uiPriority w:val="9"/>
    <w:semiHidden/>
    <w:rsid w:val="00AA3847"/>
    <w:rPr>
      <w:rFonts w:asciiTheme="majorHAnsi" w:eastAsiaTheme="majorEastAsia" w:hAnsiTheme="majorHAnsi" w:cstheme="majorBidi"/>
      <w:color w:val="1F3763" w:themeColor="accent1" w:themeShade="7F"/>
      <w:spacing w:val="2"/>
      <w:sz w:val="24"/>
      <w:szCs w:val="24"/>
    </w:rPr>
  </w:style>
  <w:style w:type="character" w:styleId="UnresolvedMention">
    <w:name w:val="Unresolved Mention"/>
    <w:basedOn w:val="DefaultParagraphFont"/>
    <w:uiPriority w:val="99"/>
    <w:semiHidden/>
    <w:unhideWhenUsed/>
    <w:rsid w:val="00AA3847"/>
    <w:rPr>
      <w:color w:val="605E5C"/>
      <w:shd w:val="clear" w:color="auto" w:fill="E1DFDD"/>
    </w:rPr>
  </w:style>
  <w:style w:type="character" w:styleId="CommentReference">
    <w:name w:val="annotation reference"/>
    <w:basedOn w:val="DefaultParagraphFont"/>
    <w:uiPriority w:val="99"/>
    <w:semiHidden/>
    <w:unhideWhenUsed/>
    <w:rsid w:val="00BD34D4"/>
    <w:rPr>
      <w:sz w:val="16"/>
      <w:szCs w:val="16"/>
    </w:rPr>
  </w:style>
  <w:style w:type="paragraph" w:styleId="CommentText">
    <w:name w:val="annotation text"/>
    <w:basedOn w:val="Normal"/>
    <w:link w:val="CommentTextChar"/>
    <w:uiPriority w:val="99"/>
    <w:unhideWhenUsed/>
    <w:rsid w:val="00BD34D4"/>
    <w:rPr>
      <w:sz w:val="20"/>
      <w:szCs w:val="20"/>
    </w:rPr>
  </w:style>
  <w:style w:type="character" w:customStyle="1" w:styleId="CommentTextChar">
    <w:name w:val="Comment Text Char"/>
    <w:basedOn w:val="DefaultParagraphFont"/>
    <w:link w:val="CommentText"/>
    <w:uiPriority w:val="99"/>
    <w:rsid w:val="00BD34D4"/>
    <w:rPr>
      <w:rFonts w:ascii="Times New Roman" w:hAnsi="Times New Roman" w:cs="Segoe UI"/>
      <w:color w:val="212121"/>
      <w:spacing w:val="2"/>
      <w:sz w:val="20"/>
      <w:szCs w:val="20"/>
    </w:rPr>
  </w:style>
  <w:style w:type="paragraph" w:styleId="CommentSubject">
    <w:name w:val="annotation subject"/>
    <w:basedOn w:val="CommentText"/>
    <w:next w:val="CommentText"/>
    <w:link w:val="CommentSubjectChar"/>
    <w:uiPriority w:val="99"/>
    <w:semiHidden/>
    <w:unhideWhenUsed/>
    <w:rsid w:val="00BD34D4"/>
    <w:rPr>
      <w:b/>
      <w:bCs/>
    </w:rPr>
  </w:style>
  <w:style w:type="character" w:customStyle="1" w:styleId="CommentSubjectChar">
    <w:name w:val="Comment Subject Char"/>
    <w:basedOn w:val="CommentTextChar"/>
    <w:link w:val="CommentSubject"/>
    <w:uiPriority w:val="99"/>
    <w:semiHidden/>
    <w:rsid w:val="00BD34D4"/>
    <w:rPr>
      <w:rFonts w:ascii="Times New Roman" w:hAnsi="Times New Roman" w:cs="Segoe UI"/>
      <w:b/>
      <w:bCs/>
      <w:color w:val="212121"/>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sa.gov/youth/documents/FINAL_EN-05-11005_508-comp.pdf" TargetMode="External"/><Relationship Id="rId4" Type="http://schemas.openxmlformats.org/officeDocument/2006/relationships/customXml" Target="../customXml/item4.xml"/><Relationship Id="rId9" Type="http://schemas.openxmlformats.org/officeDocument/2006/relationships/hyperlink" Target="https://www.ssa.gov/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PSYCXS4UKN6N-1059301400-214</_dlc_DocId>
    <_dlc_DocIdUrl xmlns="e4c825ca-5bc4-4803-8784-07b69f781b23">
      <Url>https://socialsecuritygov.sharepoint.com/sites/ModCollaboration-09034/_layouts/15/DocIdRedir.aspx?ID=PSYCXS4UKN6N-1059301400-214</Url>
      <Description>PSYCXS4UKN6N-1059301400-214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3C93D0-3F33-4DE7-804F-E61AF9E0E7F9}">
  <ds:schemaRefs>
    <ds:schemaRef ds:uri="http://schemas.microsoft.com/sharepoint/v3/contenttype/forms"/>
  </ds:schemaRefs>
</ds:datastoreItem>
</file>

<file path=customXml/itemProps2.xml><?xml version="1.0" encoding="utf-8"?>
<ds:datastoreItem xmlns:ds="http://schemas.openxmlformats.org/officeDocument/2006/customXml" ds:itemID="{9CA6F790-4ABE-40A9-9FE5-4F6C270644B9}">
  <ds:schemaRefs>
    <ds:schemaRef ds:uri="http://schemas.microsoft.com/office/2006/metadata/properties"/>
    <ds:schemaRef ds:uri="78c60eec-43c8-405b-9bb9-01e2daad1082"/>
    <ds:schemaRef ds:uri="http://schemas.openxmlformats.org/package/2006/metadata/core-properties"/>
    <ds:schemaRef ds:uri="http://purl.org/dc/terms/"/>
    <ds:schemaRef ds:uri="e4c825ca-5bc4-4803-8784-07b69f781b23"/>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6C49EB7-9630-4926-BCE5-5933EEA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3CA27-3E77-4609-AF46-56BCA74BE2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Links>
    <vt:vector size="36" baseType="variant">
      <vt:variant>
        <vt:i4>6357037</vt:i4>
      </vt:variant>
      <vt:variant>
        <vt:i4>12</vt:i4>
      </vt:variant>
      <vt:variant>
        <vt:i4>0</vt:i4>
      </vt:variant>
      <vt:variant>
        <vt:i4>5</vt:i4>
      </vt:variant>
      <vt:variant>
        <vt:lpwstr>https://www.ssa.gov/myaccount/</vt:lpwstr>
      </vt:variant>
      <vt:variant>
        <vt:lpwstr/>
      </vt:variant>
      <vt:variant>
        <vt:i4>6357037</vt:i4>
      </vt:variant>
      <vt:variant>
        <vt:i4>9</vt:i4>
      </vt:variant>
      <vt:variant>
        <vt:i4>0</vt:i4>
      </vt:variant>
      <vt:variant>
        <vt:i4>5</vt:i4>
      </vt:variant>
      <vt:variant>
        <vt:lpwstr>https://www.ssa.gov/myaccount/</vt:lpwstr>
      </vt:variant>
      <vt:variant>
        <vt:lpwstr/>
      </vt:variant>
      <vt:variant>
        <vt:i4>393227</vt:i4>
      </vt:variant>
      <vt:variant>
        <vt:i4>6</vt:i4>
      </vt:variant>
      <vt:variant>
        <vt:i4>0</vt:i4>
      </vt:variant>
      <vt:variant>
        <vt:i4>5</vt:i4>
      </vt:variant>
      <vt:variant>
        <vt:lpwstr>https://www.ssa.gov/benefits/assets/materials/retirement/EN-05-10549.pdf</vt:lpwstr>
      </vt:variant>
      <vt:variant>
        <vt:lpwstr/>
      </vt:variant>
      <vt:variant>
        <vt:i4>983107</vt:i4>
      </vt:variant>
      <vt:variant>
        <vt:i4>3</vt:i4>
      </vt:variant>
      <vt:variant>
        <vt:i4>0</vt:i4>
      </vt:variant>
      <vt:variant>
        <vt:i4>5</vt:i4>
      </vt:variant>
      <vt:variant>
        <vt:lpwstr>https://www.ssa.gov/pubs/EN-05-10147.pdf</vt:lpwstr>
      </vt:variant>
      <vt:variant>
        <vt:lpwstr/>
      </vt:variant>
      <vt:variant>
        <vt:i4>589888</vt:i4>
      </vt:variant>
      <vt:variant>
        <vt:i4>0</vt:i4>
      </vt:variant>
      <vt:variant>
        <vt:i4>0</vt:i4>
      </vt:variant>
      <vt:variant>
        <vt:i4>5</vt:i4>
      </vt:variant>
      <vt:variant>
        <vt:lpwstr>https://www.ssa.gov/pubs/EN-05-10070.pdf</vt:lpwstr>
      </vt:variant>
      <vt:variant>
        <vt:lpwstr/>
      </vt:variant>
      <vt:variant>
        <vt:i4>983054</vt:i4>
      </vt:variant>
      <vt:variant>
        <vt:i4>0</vt:i4>
      </vt:variant>
      <vt:variant>
        <vt:i4>0</vt:i4>
      </vt:variant>
      <vt:variant>
        <vt:i4>5</vt:i4>
      </vt:variant>
      <vt:variant>
        <vt:lpwstr>https://www.ssa.gov/blog/en/posts/2026-04-21.html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24</cp:revision>
  <dcterms:created xsi:type="dcterms:W3CDTF">2026-05-13T15:22:00Z</dcterms:created>
  <dcterms:modified xsi:type="dcterms:W3CDTF">2026-06-17T17:16:00Z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92959894-1a2c-47b8-92ef-370da419883e</vt:lpwstr>
  </property>
  <property fmtid="{D5CDD505-2E9C-101B-9397-08002B2CF9AE}" pid="4" name="MediaServiceImageTags">
    <vt:lpwstr/>
  </property>
</Properties>
</file>