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C2565" w14:textId="77777777" w:rsidR="006D533E" w:rsidRDefault="006D533E" w:rsidP="006D533E">
      <w:pPr>
        <w:spacing w:after="360" w:line="360" w:lineRule="auto"/>
        <w:rPr>
          <w:rFonts w:ascii="Times New Roman" w:hAnsi="Times New Roman"/>
          <w:sz w:val="24"/>
          <w:szCs w:val="24"/>
          <w:lang w:val="es-PR"/>
        </w:rPr>
      </w:pPr>
      <w:r w:rsidRPr="00657E62">
        <w:rPr>
          <w:rFonts w:ascii="Times New Roman" w:hAnsi="Times New Roman"/>
          <w:sz w:val="24"/>
          <w:szCs w:val="24"/>
          <w:lang w:val="es-PR"/>
        </w:rPr>
        <w:t>BENEFICIOS DE SOBREVIVIENTES DEL SEGURO SOCIAL PARA NIÑOS</w:t>
      </w:r>
    </w:p>
    <w:p w14:paraId="4C3342AC" w14:textId="77777777" w:rsidR="006D533E" w:rsidRDefault="006D533E" w:rsidP="006D533E">
      <w:p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Perder uno de sus padres es una de las experiencias más difíciles que puede enfrentar un niño. Además de los desafíos emocionales, las familias a menudo deben adaptarse a nuevas realidades financieras. </w:t>
      </w:r>
    </w:p>
    <w:p w14:paraId="6591960D" w14:textId="77777777" w:rsidR="006D533E" w:rsidRPr="00657E62" w:rsidRDefault="006D533E" w:rsidP="006D533E">
      <w:pPr>
        <w:spacing w:after="360" w:line="360" w:lineRule="auto"/>
        <w:rPr>
          <w:rFonts w:ascii="Times New Roman" w:hAnsi="Times New Roman"/>
          <w:sz w:val="24"/>
          <w:szCs w:val="24"/>
          <w:lang w:val="es-PR"/>
        </w:rPr>
      </w:pPr>
      <w:r w:rsidRPr="00657E62">
        <w:rPr>
          <w:rFonts w:ascii="Times New Roman" w:hAnsi="Times New Roman"/>
          <w:sz w:val="24"/>
          <w:szCs w:val="24"/>
          <w:lang w:val="es-PR"/>
        </w:rPr>
        <w:t>Muchas personas desconocen que la Administración del Seguro Social (SSA, por sus siglas en inglés) puede ayudar a los niños que han perdido a un padre con los beneficios mensuales de sobrevivientes.</w:t>
      </w:r>
    </w:p>
    <w:p w14:paraId="1D365B33" w14:textId="77777777" w:rsidR="006D533E" w:rsidRPr="00657E62" w:rsidRDefault="006D533E" w:rsidP="006D533E">
      <w:pPr>
        <w:spacing w:after="360" w:line="360" w:lineRule="auto"/>
        <w:rPr>
          <w:rFonts w:ascii="Times New Roman" w:hAnsi="Times New Roman"/>
          <w:b/>
          <w:bCs/>
          <w:sz w:val="24"/>
          <w:szCs w:val="24"/>
          <w:lang w:val="es-PR"/>
        </w:rPr>
      </w:pPr>
      <w:r w:rsidRPr="00657E62">
        <w:rPr>
          <w:rFonts w:ascii="Times New Roman" w:hAnsi="Times New Roman"/>
          <w:b/>
          <w:bCs/>
          <w:sz w:val="24"/>
          <w:szCs w:val="24"/>
          <w:lang w:val="es-PR"/>
        </w:rPr>
        <w:t>¿Quién es elegible para los beneficios de sobrevivientes?</w:t>
      </w:r>
    </w:p>
    <w:p w14:paraId="49556B46" w14:textId="77777777" w:rsidR="006D533E" w:rsidRPr="00657E62" w:rsidRDefault="006D533E" w:rsidP="006D533E">
      <w:p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Si un niño pierde a un padre que trabajó y pagó al fondo del Seguro Social, ese niño puede ser elegible para recibir beneficios mensuales como sobreviviente. Estos beneficios no son solo para hijos biológicos; también pueden pagarse a hijastros, hijos adoptados, nietos y nietastros bajo ciertas circunstancias. En la mayoría de los casos, estos beneficios continúan hasta que el niño cumple 18 años </w:t>
      </w:r>
      <w:r w:rsidRPr="00657E62">
        <w:rPr>
          <w:rFonts w:ascii="Times New Roman" w:hAnsi="Times New Roman"/>
          <w:sz w:val="24"/>
          <w:szCs w:val="24"/>
          <w:lang w:val="es-ES"/>
        </w:rPr>
        <w:t>(o hasta los 19 años si asisten a tiempo completo a una escuela primaria o secundaria)</w:t>
      </w:r>
      <w:r w:rsidRPr="00657E62">
        <w:rPr>
          <w:rFonts w:ascii="Times New Roman" w:hAnsi="Times New Roman"/>
          <w:sz w:val="24"/>
          <w:szCs w:val="24"/>
          <w:lang w:val="es-PR"/>
        </w:rPr>
        <w:t>. Además, los hijos adultos que se incapacitaron antes de los 22 años pueden ser elegibles para beneficios de niño adulto sobreviviente a cualquier edad.</w:t>
      </w:r>
    </w:p>
    <w:p w14:paraId="6D013BA9" w14:textId="77777777" w:rsidR="006D533E" w:rsidRPr="00657E62" w:rsidRDefault="006D533E" w:rsidP="006D533E">
      <w:pPr>
        <w:spacing w:after="360" w:line="360" w:lineRule="auto"/>
        <w:rPr>
          <w:rFonts w:ascii="Times New Roman" w:hAnsi="Times New Roman"/>
          <w:b/>
          <w:bCs/>
          <w:sz w:val="24"/>
          <w:szCs w:val="24"/>
          <w:lang w:val="es-PR"/>
        </w:rPr>
      </w:pPr>
      <w:r w:rsidRPr="00657E62">
        <w:rPr>
          <w:rFonts w:ascii="Times New Roman" w:hAnsi="Times New Roman"/>
          <w:b/>
          <w:bCs/>
          <w:sz w:val="24"/>
          <w:szCs w:val="24"/>
          <w:lang w:val="es-PR"/>
        </w:rPr>
        <w:t>¿Por qué son importantes los beneficios de sobrevivientes?</w:t>
      </w:r>
    </w:p>
    <w:p w14:paraId="635ABD6D" w14:textId="77777777" w:rsidR="006D533E" w:rsidRPr="00657E62" w:rsidRDefault="006D533E" w:rsidP="006D533E">
      <w:pPr>
        <w:spacing w:after="360" w:line="360" w:lineRule="auto"/>
        <w:rPr>
          <w:rFonts w:ascii="Times New Roman" w:hAnsi="Times New Roman"/>
          <w:sz w:val="24"/>
          <w:szCs w:val="24"/>
          <w:lang w:val="es-PR"/>
        </w:rPr>
      </w:pPr>
      <w:r w:rsidRPr="00657E62">
        <w:rPr>
          <w:rFonts w:ascii="Times New Roman" w:hAnsi="Times New Roman"/>
          <w:sz w:val="24"/>
          <w:szCs w:val="24"/>
          <w:lang w:val="es-PR"/>
        </w:rPr>
        <w:t>La muerte de un padre puede tener un impacto duradero en el bienestar emocional, el rendimiento académico y la estabilidad financiera de un niño. Los beneficios de sobrevivientes están diseñados para ayudar a aliviar la carga financiera durante este momento difícil, proporcionando seguridad y apoyo para el futuro del niño.</w:t>
      </w:r>
    </w:p>
    <w:p w14:paraId="2B21E254" w14:textId="77777777" w:rsidR="006D533E" w:rsidRPr="00657E62" w:rsidRDefault="006D533E" w:rsidP="006D533E">
      <w:pPr>
        <w:spacing w:after="360" w:line="360" w:lineRule="auto"/>
        <w:rPr>
          <w:rFonts w:ascii="Times New Roman" w:hAnsi="Times New Roman"/>
          <w:b/>
          <w:bCs/>
          <w:sz w:val="24"/>
          <w:szCs w:val="24"/>
          <w:lang w:val="es-PR"/>
        </w:rPr>
      </w:pPr>
      <w:r w:rsidRPr="00657E62">
        <w:rPr>
          <w:rFonts w:ascii="Times New Roman" w:hAnsi="Times New Roman"/>
          <w:b/>
          <w:bCs/>
          <w:sz w:val="24"/>
          <w:szCs w:val="24"/>
          <w:lang w:val="es-PR"/>
        </w:rPr>
        <w:t>¿Cómo solicitar los beneficios de sobrevivientes?</w:t>
      </w:r>
    </w:p>
    <w:p w14:paraId="4DF4814A" w14:textId="77777777" w:rsidR="006D533E" w:rsidRPr="00657E62" w:rsidRDefault="006D533E" w:rsidP="006D533E">
      <w:pPr>
        <w:spacing w:after="360" w:line="360" w:lineRule="auto"/>
        <w:rPr>
          <w:rFonts w:ascii="Times New Roman" w:hAnsi="Times New Roman"/>
          <w:sz w:val="24"/>
          <w:szCs w:val="24"/>
          <w:lang w:val="es-PR"/>
        </w:rPr>
      </w:pPr>
      <w:r w:rsidRPr="00657E62">
        <w:rPr>
          <w:rFonts w:ascii="Times New Roman" w:hAnsi="Times New Roman"/>
          <w:sz w:val="24"/>
          <w:szCs w:val="24"/>
          <w:lang w:val="es-PR"/>
        </w:rPr>
        <w:t>Estos beneficios de sobrevivientes no se pueden solicitar en línea. Debe llamarnos o visitar su oficina local del Seguro Social en persona.</w:t>
      </w:r>
    </w:p>
    <w:p w14:paraId="3810C661" w14:textId="77777777" w:rsidR="006D533E" w:rsidRPr="00657E62" w:rsidRDefault="006D533E" w:rsidP="006D533E">
      <w:pPr>
        <w:spacing w:after="360" w:line="360" w:lineRule="auto"/>
        <w:rPr>
          <w:rFonts w:ascii="Times New Roman" w:hAnsi="Times New Roman"/>
          <w:sz w:val="24"/>
          <w:szCs w:val="24"/>
          <w:lang w:val="es-PR"/>
        </w:rPr>
      </w:pPr>
      <w:r w:rsidRPr="00657E62">
        <w:rPr>
          <w:rFonts w:ascii="Times New Roman" w:hAnsi="Times New Roman"/>
          <w:sz w:val="24"/>
          <w:szCs w:val="24"/>
          <w:lang w:val="es-PR"/>
        </w:rPr>
        <w:lastRenderedPageBreak/>
        <w:t xml:space="preserve">Para programar una cita, llame al 1-800-772-1213 (TTY: 1-800-325-0778) entre las 8:00 a.m. y las 7:00 p.m., de lunes a viernes. </w:t>
      </w:r>
    </w:p>
    <w:p w14:paraId="7697508D" w14:textId="77777777" w:rsidR="006D533E" w:rsidRPr="00657E62" w:rsidRDefault="006D533E" w:rsidP="006D533E">
      <w:p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Los tiempos de espera suelen ser más cortos temprano en la mañana (antes de las 10 a.m.), al final de la tarde (después de las 4 p.m.) o al final de la semana (miércoles a viernes). La mayoría de las citas pueden programarse dentro de 30 a 60 días. </w:t>
      </w:r>
    </w:p>
    <w:p w14:paraId="25FA1ED8" w14:textId="77777777" w:rsidR="006D533E" w:rsidRDefault="006D533E" w:rsidP="006D533E">
      <w:pPr>
        <w:spacing w:after="360" w:line="360" w:lineRule="auto"/>
        <w:rPr>
          <w:rFonts w:ascii="Times New Roman" w:hAnsi="Times New Roman"/>
          <w:sz w:val="24"/>
          <w:szCs w:val="24"/>
          <w:lang w:val="es-PR"/>
        </w:rPr>
      </w:pPr>
      <w:r w:rsidRPr="00657E62">
        <w:rPr>
          <w:rFonts w:ascii="Times New Roman" w:hAnsi="Times New Roman"/>
          <w:sz w:val="24"/>
          <w:szCs w:val="24"/>
          <w:lang w:val="es-PR"/>
        </w:rPr>
        <w:t>Cuando llame, tenga el número de Seguro Social (SSN, por sus siglas en inglés) del padre fallecido listo. El representante le informará qué otra información necesitará para su cita.</w:t>
      </w:r>
    </w:p>
    <w:p w14:paraId="077E146C" w14:textId="77777777" w:rsidR="006D533E" w:rsidRPr="00657E62" w:rsidRDefault="006D533E" w:rsidP="006D533E">
      <w:pPr>
        <w:spacing w:after="360" w:line="360" w:lineRule="auto"/>
        <w:rPr>
          <w:rFonts w:ascii="Times New Roman" w:hAnsi="Times New Roman"/>
          <w:sz w:val="24"/>
          <w:szCs w:val="24"/>
          <w:lang w:val="es-PR"/>
        </w:rPr>
      </w:pPr>
      <w:r w:rsidRPr="00657E62">
        <w:rPr>
          <w:rFonts w:ascii="Times New Roman" w:hAnsi="Times New Roman"/>
          <w:sz w:val="24"/>
          <w:szCs w:val="24"/>
          <w:lang w:val="es-PR"/>
        </w:rPr>
        <w:t xml:space="preserve">Es importante que se comunique con nosotros lo antes posible después de la muerte de un padre. La fecha en que lo haga puede afectar cuándo comenzarán los beneficios del niño, así que no se retrase. </w:t>
      </w:r>
    </w:p>
    <w:p w14:paraId="0AE21F72" w14:textId="77777777" w:rsidR="006D533E" w:rsidRDefault="006D533E" w:rsidP="006D533E">
      <w:pPr>
        <w:spacing w:after="360" w:line="360" w:lineRule="auto"/>
        <w:rPr>
          <w:rFonts w:ascii="Times New Roman" w:hAnsi="Times New Roman"/>
          <w:sz w:val="24"/>
          <w:szCs w:val="24"/>
          <w:lang w:val="es-PR"/>
        </w:rPr>
      </w:pPr>
      <w:r w:rsidRPr="00657E62">
        <w:rPr>
          <w:rFonts w:ascii="Times New Roman" w:hAnsi="Times New Roman"/>
          <w:sz w:val="24"/>
          <w:szCs w:val="24"/>
          <w:lang w:val="es-PR"/>
        </w:rPr>
        <w:t>Para obtener más información sobre los beneficios de sobreviviente del Seguro Social para niños, visite </w:t>
      </w:r>
      <w:hyperlink r:id="rId8" w:history="1">
        <w:r w:rsidRPr="00657E62">
          <w:rPr>
            <w:rFonts w:ascii="Times New Roman" w:hAnsi="Times New Roman"/>
            <w:color w:val="0000FF"/>
            <w:sz w:val="24"/>
            <w:szCs w:val="24"/>
            <w:u w:val="single"/>
            <w:lang w:val="es-ES"/>
          </w:rPr>
          <w:t>www.ssa.gov/es/survivor</w:t>
        </w:r>
      </w:hyperlink>
      <w:r w:rsidRPr="00657E62">
        <w:rPr>
          <w:rFonts w:ascii="Times New Roman" w:hAnsi="Times New Roman"/>
          <w:sz w:val="24"/>
          <w:szCs w:val="24"/>
          <w:lang w:val="es-PR"/>
        </w:rPr>
        <w:t xml:space="preserve"> y revise nuestra publicación, </w:t>
      </w:r>
      <w:r w:rsidRPr="00657E62">
        <w:rPr>
          <w:rFonts w:ascii="Times New Roman" w:hAnsi="Times New Roman"/>
          <w:i/>
          <w:iCs/>
          <w:sz w:val="24"/>
          <w:szCs w:val="24"/>
          <w:lang w:val="es-PR"/>
        </w:rPr>
        <w:t>Beneficios para Niños</w:t>
      </w:r>
      <w:r w:rsidRPr="00657E62">
        <w:rPr>
          <w:rFonts w:ascii="Times New Roman" w:hAnsi="Times New Roman"/>
          <w:sz w:val="24"/>
          <w:szCs w:val="24"/>
          <w:lang w:val="es-PR"/>
        </w:rPr>
        <w:t xml:space="preserve"> en </w:t>
      </w:r>
      <w:hyperlink r:id="rId9" w:history="1">
        <w:r w:rsidRPr="00657E62">
          <w:rPr>
            <w:rFonts w:ascii="Times New Roman" w:hAnsi="Times New Roman"/>
            <w:color w:val="0000FF"/>
            <w:sz w:val="24"/>
            <w:szCs w:val="24"/>
            <w:u w:val="single"/>
            <w:lang w:val="es-ES"/>
          </w:rPr>
          <w:t>www.ssa.gov/pubs/ES-05-10985.pdf</w:t>
        </w:r>
      </w:hyperlink>
      <w:r w:rsidRPr="00657E62">
        <w:rPr>
          <w:rFonts w:ascii="Times New Roman" w:hAnsi="Times New Roman"/>
          <w:sz w:val="24"/>
          <w:szCs w:val="24"/>
        </w:rPr>
        <w:t>.</w:t>
      </w:r>
    </w:p>
    <w:p w14:paraId="6EA84AEC" w14:textId="64EEC224" w:rsidR="00DB29E0" w:rsidRDefault="006D533E" w:rsidP="006D533E">
      <w:pPr>
        <w:spacing w:after="360" w:line="360" w:lineRule="auto"/>
        <w:jc w:val="center"/>
      </w:pPr>
      <w:r>
        <w:rPr>
          <w:rFonts w:ascii="Times New Roman" w:hAnsi="Times New Roman"/>
          <w:sz w:val="24"/>
          <w:szCs w:val="24"/>
          <w:lang w:val="es-PR"/>
        </w:rPr>
        <w:t>###</w:t>
      </w:r>
    </w:p>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33E"/>
    <w:rsid w:val="004F0013"/>
    <w:rsid w:val="006D533E"/>
    <w:rsid w:val="00781A17"/>
    <w:rsid w:val="008F3CF3"/>
    <w:rsid w:val="00AB0C46"/>
    <w:rsid w:val="00D04770"/>
    <w:rsid w:val="00D47246"/>
    <w:rsid w:val="00DB29E0"/>
    <w:rsid w:val="00E1351C"/>
    <w:rsid w:val="00E2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4362D"/>
  <w15:chartTrackingRefBased/>
  <w15:docId w15:val="{5A987E39-DDBD-4F3F-80BB-13C6F534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33E"/>
    <w:pPr>
      <w:spacing w:after="0" w:line="240" w:lineRule="auto"/>
    </w:pPr>
    <w:rPr>
      <w:rFonts w:ascii="Garamond" w:eastAsia="Times New Roman" w:hAnsi="Garamond" w:cs="Times New Roman"/>
      <w:spacing w:val="-4"/>
      <w:kern w:val="0"/>
      <w:sz w:val="20"/>
      <w:szCs w:val="20"/>
      <w:lang w:eastAsia="zh-CN"/>
      <w14:ligatures w14:val="none"/>
    </w:rPr>
  </w:style>
  <w:style w:type="paragraph" w:styleId="Heading1">
    <w:name w:val="heading 1"/>
    <w:basedOn w:val="Normal"/>
    <w:next w:val="Normal"/>
    <w:link w:val="Heading1Char"/>
    <w:uiPriority w:val="9"/>
    <w:qFormat/>
    <w:rsid w:val="006D533E"/>
    <w:pPr>
      <w:keepNext/>
      <w:keepLines/>
      <w:spacing w:before="360" w:after="80" w:line="278" w:lineRule="auto"/>
      <w:outlineLvl w:val="0"/>
    </w:pPr>
    <w:rPr>
      <w:rFonts w:asciiTheme="majorHAnsi" w:eastAsiaTheme="majorEastAsia" w:hAnsiTheme="majorHAnsi" w:cstheme="majorBidi"/>
      <w:color w:val="0F4761" w:themeColor="accent1" w:themeShade="BF"/>
      <w:spacing w:val="0"/>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D533E"/>
    <w:pPr>
      <w:keepNext/>
      <w:keepLines/>
      <w:spacing w:before="160" w:after="80" w:line="278" w:lineRule="auto"/>
      <w:outlineLvl w:val="1"/>
    </w:pPr>
    <w:rPr>
      <w:rFonts w:asciiTheme="majorHAnsi" w:eastAsiaTheme="majorEastAsia" w:hAnsiTheme="majorHAnsi" w:cstheme="majorBidi"/>
      <w:color w:val="0F4761" w:themeColor="accent1" w:themeShade="BF"/>
      <w:spacing w:val="0"/>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D533E"/>
    <w:pPr>
      <w:keepNext/>
      <w:keepLines/>
      <w:spacing w:before="160" w:after="80" w:line="278" w:lineRule="auto"/>
      <w:outlineLvl w:val="2"/>
    </w:pPr>
    <w:rPr>
      <w:rFonts w:asciiTheme="minorHAnsi" w:eastAsiaTheme="majorEastAsia" w:hAnsiTheme="minorHAnsi" w:cstheme="majorBidi"/>
      <w:color w:val="0F4761" w:themeColor="accent1" w:themeShade="BF"/>
      <w:spacing w:val="0"/>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D533E"/>
    <w:pPr>
      <w:keepNext/>
      <w:keepLines/>
      <w:spacing w:before="80" w:after="40" w:line="278" w:lineRule="auto"/>
      <w:outlineLvl w:val="3"/>
    </w:pPr>
    <w:rPr>
      <w:rFonts w:asciiTheme="minorHAnsi" w:eastAsiaTheme="majorEastAsia" w:hAnsiTheme="minorHAnsi" w:cstheme="majorBidi"/>
      <w:i/>
      <w:iCs/>
      <w:color w:val="0F4761" w:themeColor="accent1" w:themeShade="BF"/>
      <w:spacing w:val="0"/>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D533E"/>
    <w:pPr>
      <w:keepNext/>
      <w:keepLines/>
      <w:spacing w:before="80" w:after="40" w:line="278" w:lineRule="auto"/>
      <w:outlineLvl w:val="4"/>
    </w:pPr>
    <w:rPr>
      <w:rFonts w:asciiTheme="minorHAnsi" w:eastAsiaTheme="majorEastAsia" w:hAnsiTheme="minorHAnsi" w:cstheme="majorBidi"/>
      <w:color w:val="0F4761" w:themeColor="accent1" w:themeShade="BF"/>
      <w:spacing w:val="0"/>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D533E"/>
    <w:pPr>
      <w:keepNext/>
      <w:keepLines/>
      <w:spacing w:before="40" w:line="278" w:lineRule="auto"/>
      <w:outlineLvl w:val="5"/>
    </w:pPr>
    <w:rPr>
      <w:rFonts w:asciiTheme="minorHAnsi" w:eastAsiaTheme="majorEastAsia" w:hAnsiTheme="minorHAnsi" w:cstheme="majorBidi"/>
      <w:i/>
      <w:iCs/>
      <w:color w:val="595959" w:themeColor="text1" w:themeTint="A6"/>
      <w:spacing w:val="0"/>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D533E"/>
    <w:pPr>
      <w:keepNext/>
      <w:keepLines/>
      <w:spacing w:before="40" w:line="278" w:lineRule="auto"/>
      <w:outlineLvl w:val="6"/>
    </w:pPr>
    <w:rPr>
      <w:rFonts w:asciiTheme="minorHAnsi" w:eastAsiaTheme="majorEastAsia" w:hAnsiTheme="minorHAnsi" w:cstheme="majorBidi"/>
      <w:color w:val="595959" w:themeColor="text1" w:themeTint="A6"/>
      <w:spacing w:val="0"/>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D533E"/>
    <w:pPr>
      <w:keepNext/>
      <w:keepLines/>
      <w:spacing w:line="278" w:lineRule="auto"/>
      <w:outlineLvl w:val="7"/>
    </w:pPr>
    <w:rPr>
      <w:rFonts w:asciiTheme="minorHAnsi" w:eastAsiaTheme="majorEastAsia" w:hAnsiTheme="minorHAnsi" w:cstheme="majorBidi"/>
      <w:i/>
      <w:iCs/>
      <w:color w:val="272727" w:themeColor="text1" w:themeTint="D8"/>
      <w:spacing w:val="0"/>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D533E"/>
    <w:pPr>
      <w:keepNext/>
      <w:keepLines/>
      <w:spacing w:line="278" w:lineRule="auto"/>
      <w:outlineLvl w:val="8"/>
    </w:pPr>
    <w:rPr>
      <w:rFonts w:asciiTheme="minorHAnsi" w:eastAsiaTheme="majorEastAsia" w:hAnsiTheme="minorHAnsi" w:cstheme="majorBidi"/>
      <w:color w:val="272727" w:themeColor="text1" w:themeTint="D8"/>
      <w:spacing w:val="0"/>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5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5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5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5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5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33E"/>
    <w:rPr>
      <w:rFonts w:eastAsiaTheme="majorEastAsia" w:cstheme="majorBidi"/>
      <w:color w:val="272727" w:themeColor="text1" w:themeTint="D8"/>
    </w:rPr>
  </w:style>
  <w:style w:type="paragraph" w:styleId="Title">
    <w:name w:val="Title"/>
    <w:basedOn w:val="Normal"/>
    <w:next w:val="Normal"/>
    <w:link w:val="TitleChar"/>
    <w:uiPriority w:val="10"/>
    <w:qFormat/>
    <w:rsid w:val="006D533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D5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33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D5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33E"/>
    <w:pPr>
      <w:spacing w:before="160" w:after="160" w:line="278" w:lineRule="auto"/>
      <w:jc w:val="center"/>
    </w:pPr>
    <w:rPr>
      <w:rFonts w:asciiTheme="minorHAnsi" w:eastAsiaTheme="minorHAnsi" w:hAnsiTheme="minorHAnsi" w:cstheme="minorBidi"/>
      <w:i/>
      <w:iCs/>
      <w:color w:val="404040" w:themeColor="text1" w:themeTint="BF"/>
      <w:spacing w:val="0"/>
      <w:kern w:val="2"/>
      <w:sz w:val="24"/>
      <w:szCs w:val="24"/>
      <w:lang w:eastAsia="en-US"/>
      <w14:ligatures w14:val="standardContextual"/>
    </w:rPr>
  </w:style>
  <w:style w:type="character" w:customStyle="1" w:styleId="QuoteChar">
    <w:name w:val="Quote Char"/>
    <w:basedOn w:val="DefaultParagraphFont"/>
    <w:link w:val="Quote"/>
    <w:uiPriority w:val="29"/>
    <w:rsid w:val="006D533E"/>
    <w:rPr>
      <w:i/>
      <w:iCs/>
      <w:color w:val="404040" w:themeColor="text1" w:themeTint="BF"/>
    </w:rPr>
  </w:style>
  <w:style w:type="paragraph" w:styleId="ListParagraph">
    <w:name w:val="List Paragraph"/>
    <w:basedOn w:val="Normal"/>
    <w:uiPriority w:val="34"/>
    <w:qFormat/>
    <w:rsid w:val="006D533E"/>
    <w:pPr>
      <w:spacing w:after="160" w:line="278" w:lineRule="auto"/>
      <w:ind w:left="720"/>
      <w:contextualSpacing/>
    </w:pPr>
    <w:rPr>
      <w:rFonts w:asciiTheme="minorHAnsi" w:eastAsiaTheme="minorHAnsi" w:hAnsiTheme="minorHAnsi" w:cstheme="minorBidi"/>
      <w:spacing w:val="0"/>
      <w:kern w:val="2"/>
      <w:sz w:val="24"/>
      <w:szCs w:val="24"/>
      <w:lang w:eastAsia="en-US"/>
      <w14:ligatures w14:val="standardContextual"/>
    </w:rPr>
  </w:style>
  <w:style w:type="character" w:styleId="IntenseEmphasis">
    <w:name w:val="Intense Emphasis"/>
    <w:basedOn w:val="DefaultParagraphFont"/>
    <w:uiPriority w:val="21"/>
    <w:qFormat/>
    <w:rsid w:val="006D533E"/>
    <w:rPr>
      <w:i/>
      <w:iCs/>
      <w:color w:val="0F4761" w:themeColor="accent1" w:themeShade="BF"/>
    </w:rPr>
  </w:style>
  <w:style w:type="paragraph" w:styleId="IntenseQuote">
    <w:name w:val="Intense Quote"/>
    <w:basedOn w:val="Normal"/>
    <w:next w:val="Normal"/>
    <w:link w:val="IntenseQuoteChar"/>
    <w:uiPriority w:val="30"/>
    <w:qFormat/>
    <w:rsid w:val="006D533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spacing w:val="0"/>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D533E"/>
    <w:rPr>
      <w:i/>
      <w:iCs/>
      <w:color w:val="0F4761" w:themeColor="accent1" w:themeShade="BF"/>
    </w:rPr>
  </w:style>
  <w:style w:type="character" w:styleId="IntenseReference">
    <w:name w:val="Intense Reference"/>
    <w:basedOn w:val="DefaultParagraphFont"/>
    <w:uiPriority w:val="32"/>
    <w:qFormat/>
    <w:rsid w:val="006D53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es/survivo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sa.gov/pubs/ES-05-109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E034BB4750A48B247774146A31D7D" ma:contentTypeVersion="11" ma:contentTypeDescription="Create a new document." ma:contentTypeScope="" ma:versionID="1bede17616977f39ee93e1b09b64373d">
  <xsd:schema xmlns:xsd="http://www.w3.org/2001/XMLSchema" xmlns:xs="http://www.w3.org/2001/XMLSchema" xmlns:p="http://schemas.microsoft.com/office/2006/metadata/properties" xmlns:ns2="e4c825ca-5bc4-4803-8784-07b69f781b23" xmlns:ns3="78c60eec-43c8-405b-9bb9-01e2daad1082" targetNamespace="http://schemas.microsoft.com/office/2006/metadata/properties" ma:root="true" ma:fieldsID="4faa80d248bb548762a352d845c4ed3a" ns2:_="" ns3:_="">
    <xsd:import namespace="e4c825ca-5bc4-4803-8784-07b69f781b23"/>
    <xsd:import namespace="78c60eec-43c8-405b-9bb9-01e2daad10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25ca-5bc4-4803-8784-07b69f781b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2a0c45-6bf5-4c88-8679-20ba7077fb62}" ma:internalName="TaxCatchAll" ma:showField="CatchAllData" ma:web="e4c825ca-5bc4-4803-8784-07b69f781b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60eec-43c8-405b-9bb9-01e2daad10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c60eec-43c8-405b-9bb9-01e2daad1082">
      <Terms xmlns="http://schemas.microsoft.com/office/infopath/2007/PartnerControls"/>
    </lcf76f155ced4ddcb4097134ff3c332f>
    <TaxCatchAll xmlns="e4c825ca-5bc4-4803-8784-07b69f781b23" xsi:nil="true"/>
    <_dlc_DocId xmlns="e4c825ca-5bc4-4803-8784-07b69f781b23">PSYCXS4UKN6N-1059301400-249</_dlc_DocId>
    <_dlc_DocIdUrl xmlns="e4c825ca-5bc4-4803-8784-07b69f781b23">
      <Url>https://socialsecuritygov.sharepoint.com/sites/ModCollaboration-09034/_layouts/15/DocIdRedir.aspx?ID=PSYCXS4UKN6N-1059301400-249</Url>
      <Description>PSYCXS4UKN6N-1059301400-249</Description>
    </_dlc_DocIdUrl>
  </documentManagement>
</p:properties>
</file>

<file path=customXml/itemProps1.xml><?xml version="1.0" encoding="utf-8"?>
<ds:datastoreItem xmlns:ds="http://schemas.openxmlformats.org/officeDocument/2006/customXml" ds:itemID="{488615CD-FA4B-4A19-889B-993B7E754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25ca-5bc4-4803-8784-07b69f781b23"/>
    <ds:schemaRef ds:uri="78c60eec-43c8-405b-9bb9-01e2daad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295A0-E394-4FB5-9379-E04EEAAD902C}">
  <ds:schemaRefs>
    <ds:schemaRef ds:uri="http://schemas.microsoft.com/sharepoint/events"/>
  </ds:schemaRefs>
</ds:datastoreItem>
</file>

<file path=customXml/itemProps3.xml><?xml version="1.0" encoding="utf-8"?>
<ds:datastoreItem xmlns:ds="http://schemas.openxmlformats.org/officeDocument/2006/customXml" ds:itemID="{C1314BCB-884E-4E92-A043-F0B786E00DC8}">
  <ds:schemaRefs>
    <ds:schemaRef ds:uri="http://schemas.microsoft.com/sharepoint/v3/contenttype/forms"/>
  </ds:schemaRefs>
</ds:datastoreItem>
</file>

<file path=customXml/itemProps4.xml><?xml version="1.0" encoding="utf-8"?>
<ds:datastoreItem xmlns:ds="http://schemas.openxmlformats.org/officeDocument/2006/customXml" ds:itemID="{DD274F39-6D8F-4350-9E2C-F0F4C5817674}">
  <ds:schemaRefs>
    <ds:schemaRef ds:uri="http://schemas.microsoft.com/office/2006/metadata/properties"/>
    <ds:schemaRef ds:uri="http://schemas.microsoft.com/office/infopath/2007/PartnerControls"/>
    <ds:schemaRef ds:uri="78c60eec-43c8-405b-9bb9-01e2daad1082"/>
    <ds:schemaRef ds:uri="e4c825ca-5bc4-4803-8784-07b69f781b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2397</Characters>
  <Application>Microsoft Office Word</Application>
  <DocSecurity>0</DocSecurity>
  <Lines>19</Lines>
  <Paragraphs>5</Paragraphs>
  <ScaleCrop>false</ScaleCrop>
  <Company>Social Security Administration</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Domzalski, David</cp:lastModifiedBy>
  <cp:revision>1</cp:revision>
  <dcterms:created xsi:type="dcterms:W3CDTF">2026-06-26T13:02:00Z</dcterms:created>
  <dcterms:modified xsi:type="dcterms:W3CDTF">2026-06-26T13:03:00Z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0x010100916E034BB4750A48B247774146A31D7D</vt:lpwstr>
  </property>
  <property fmtid="{D5CDD505-2E9C-101B-9397-08002B2CF9AE}" pid="3" name="_dlc_DocIdItemGuid">
    <vt:lpwstr>f8b2c5f7-8c02-498f-aef4-1bbbae749146</vt:lpwstr>
  </property>
</Properties>
</file>